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59E3" w14:textId="05AD43BE" w:rsidR="004B17F8" w:rsidRPr="00AB3AF4" w:rsidRDefault="004B17F8" w:rsidP="004B17F8">
      <w:pPr>
        <w:tabs>
          <w:tab w:val="left" w:pos="2160"/>
        </w:tabs>
        <w:spacing w:after="0"/>
        <w:rPr>
          <w:rFonts w:ascii="Arial" w:hAnsi="Arial" w:cs="Arial"/>
          <w:b/>
          <w:sz w:val="24"/>
        </w:rPr>
      </w:pPr>
      <w:bookmarkStart w:id="0" w:name="historyclause"/>
      <w:r w:rsidRPr="0098250D">
        <w:rPr>
          <w:rFonts w:ascii="Arial" w:hAnsi="Arial" w:cs="Arial"/>
          <w:b/>
          <w:sz w:val="24"/>
        </w:rPr>
        <w:t>3GPP RAN WG4 Meeting #1</w:t>
      </w:r>
      <w:r>
        <w:rPr>
          <w:rFonts w:ascii="Arial" w:hAnsi="Arial" w:cs="Arial"/>
          <w:b/>
          <w:sz w:val="24"/>
        </w:rPr>
        <w:t>1</w:t>
      </w:r>
      <w:r w:rsidR="00E644E8">
        <w:rPr>
          <w:rFonts w:ascii="Arial" w:hAnsi="Arial" w:cs="Arial"/>
          <w:b/>
          <w:sz w:val="24"/>
        </w:rPr>
        <w:t>5</w:t>
      </w:r>
      <w:r w:rsidR="00E644E8">
        <w:rPr>
          <w:rFonts w:ascii="Arial" w:hAnsi="Arial" w:cs="Arial"/>
          <w:b/>
          <w:sz w:val="24"/>
        </w:rPr>
        <w:tab/>
      </w:r>
      <w:r w:rsidRPr="00AB3AF4">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58084E" w:rsidRPr="0058084E">
        <w:rPr>
          <w:rFonts w:ascii="Arial" w:hAnsi="Arial" w:cs="Arial"/>
          <w:b/>
          <w:sz w:val="24"/>
        </w:rPr>
        <w:t>R4-250</w:t>
      </w:r>
      <w:r w:rsidR="00051967">
        <w:rPr>
          <w:rFonts w:ascii="Arial" w:hAnsi="Arial" w:cs="Arial"/>
          <w:b/>
          <w:sz w:val="24"/>
        </w:rPr>
        <w:t>6123</w:t>
      </w:r>
    </w:p>
    <w:p w14:paraId="5B9CF4B1" w14:textId="5C45FCC1" w:rsidR="00BD6168" w:rsidRDefault="00E644E8" w:rsidP="00E27B54">
      <w:pPr>
        <w:tabs>
          <w:tab w:val="left" w:pos="2160"/>
        </w:tabs>
        <w:rPr>
          <w:rFonts w:ascii="Arial" w:hAnsi="Arial" w:cs="Arial"/>
          <w:b/>
          <w:sz w:val="24"/>
        </w:rPr>
      </w:pPr>
      <w:r>
        <w:rPr>
          <w:rFonts w:ascii="Arial" w:hAnsi="Arial" w:cs="Arial"/>
          <w:b/>
          <w:sz w:val="24"/>
        </w:rPr>
        <w:t>Malta</w:t>
      </w:r>
      <w:r w:rsidR="004B17F8" w:rsidRPr="0098250D">
        <w:rPr>
          <w:rFonts w:ascii="Arial" w:hAnsi="Arial" w:cs="Arial"/>
          <w:b/>
          <w:sz w:val="24"/>
        </w:rPr>
        <w:t xml:space="preserve">, </w:t>
      </w:r>
      <w:r>
        <w:rPr>
          <w:rFonts w:ascii="Arial" w:hAnsi="Arial" w:cs="Arial"/>
          <w:b/>
          <w:sz w:val="24"/>
        </w:rPr>
        <w:t>Malta</w:t>
      </w:r>
      <w:r w:rsidR="004B17F8" w:rsidRPr="0098250D">
        <w:rPr>
          <w:rFonts w:ascii="Arial" w:hAnsi="Arial" w:cs="Arial"/>
          <w:b/>
          <w:sz w:val="24"/>
        </w:rPr>
        <w:t xml:space="preserve">, </w:t>
      </w:r>
      <w:r>
        <w:rPr>
          <w:rFonts w:ascii="Arial" w:hAnsi="Arial" w:cs="Arial"/>
          <w:b/>
          <w:sz w:val="24"/>
        </w:rPr>
        <w:t>19</w:t>
      </w:r>
      <w:r w:rsidR="004B17F8" w:rsidRPr="000A7A0F">
        <w:rPr>
          <w:rFonts w:ascii="Arial" w:hAnsi="Arial" w:cs="Arial"/>
          <w:b/>
          <w:sz w:val="24"/>
        </w:rPr>
        <w:t xml:space="preserve">th – </w:t>
      </w:r>
      <w:r>
        <w:rPr>
          <w:rFonts w:ascii="Arial" w:hAnsi="Arial" w:cs="Arial"/>
          <w:b/>
          <w:sz w:val="24"/>
        </w:rPr>
        <w:t>23rd</w:t>
      </w:r>
      <w:r w:rsidR="004B17F8" w:rsidRPr="000A7A0F">
        <w:rPr>
          <w:rFonts w:ascii="Arial" w:hAnsi="Arial" w:cs="Arial"/>
          <w:b/>
          <w:sz w:val="24"/>
        </w:rPr>
        <w:t xml:space="preserve"> </w:t>
      </w:r>
      <w:r w:rsidR="009A2471">
        <w:rPr>
          <w:rFonts w:ascii="Arial" w:hAnsi="Arial" w:cs="Arial"/>
          <w:b/>
          <w:sz w:val="24"/>
        </w:rPr>
        <w:t>May</w:t>
      </w:r>
      <w:r w:rsidR="004B17F8" w:rsidRPr="000A7A0F">
        <w:rPr>
          <w:rFonts w:ascii="Arial" w:hAnsi="Arial" w:cs="Arial"/>
          <w:b/>
          <w:sz w:val="24"/>
        </w:rPr>
        <w:t xml:space="preserve"> 202</w:t>
      </w:r>
      <w:r w:rsidR="004B17F8">
        <w:rPr>
          <w:rFonts w:ascii="Arial" w:hAnsi="Arial" w:cs="Arial"/>
          <w:b/>
          <w:sz w:val="24"/>
        </w:rPr>
        <w:t>5</w:t>
      </w:r>
    </w:p>
    <w:p w14:paraId="1492F949" w14:textId="77777777" w:rsidR="00DF67C5" w:rsidRDefault="00DF67C5" w:rsidP="00E27B54">
      <w:pPr>
        <w:tabs>
          <w:tab w:val="left" w:pos="2160"/>
        </w:tabs>
        <w:rPr>
          <w:rFonts w:ascii="Arial" w:hAnsi="Arial" w:cs="Arial"/>
          <w:b/>
        </w:rPr>
      </w:pPr>
    </w:p>
    <w:p w14:paraId="6DDCE159" w14:textId="32B361C8" w:rsidR="00D309CC" w:rsidRPr="006C351C" w:rsidRDefault="00D309CC" w:rsidP="00E27B54">
      <w:pPr>
        <w:pStyle w:val="CH"/>
        <w:rPr>
          <w:b w:val="0"/>
        </w:rPr>
      </w:pPr>
      <w:r w:rsidRPr="0008103A">
        <w:t>Agenda item:</w:t>
      </w:r>
      <w:r>
        <w:tab/>
      </w:r>
      <w:r w:rsidR="00E936C3">
        <w:t>7.33.5</w:t>
      </w:r>
    </w:p>
    <w:p w14:paraId="4DBE005A" w14:textId="57C26F80" w:rsidR="00D309CC" w:rsidRPr="006C351C" w:rsidRDefault="00D309CC" w:rsidP="00E27B54">
      <w:pPr>
        <w:pStyle w:val="CH"/>
        <w:rPr>
          <w:b w:val="0"/>
        </w:rPr>
      </w:pPr>
      <w:r w:rsidRPr="006C351C">
        <w:t>Source:</w:t>
      </w:r>
      <w:r w:rsidRPr="006C351C">
        <w:tab/>
      </w:r>
      <w:r w:rsidR="00881CD6" w:rsidRPr="00881CD6">
        <w:t>Apple</w:t>
      </w:r>
      <w:r w:rsidR="0069101C">
        <w:t xml:space="preserve"> </w:t>
      </w:r>
    </w:p>
    <w:p w14:paraId="0D2061A1" w14:textId="14505425" w:rsidR="00D309CC" w:rsidRPr="006C351C" w:rsidRDefault="00D309CC" w:rsidP="0091467A">
      <w:pPr>
        <w:pStyle w:val="CH"/>
        <w:ind w:left="2260" w:hanging="2260"/>
      </w:pPr>
      <w:r w:rsidRPr="006C351C">
        <w:t>Title:</w:t>
      </w:r>
      <w:r w:rsidRPr="006C351C">
        <w:tab/>
      </w:r>
      <w:r w:rsidR="00E936C3">
        <w:t xml:space="preserve">On </w:t>
      </w:r>
      <w:r w:rsidR="00E936C3" w:rsidRPr="00E936C3">
        <w:t xml:space="preserve">NS flags </w:t>
      </w:r>
      <w:r w:rsidR="00E936C3">
        <w:t xml:space="preserve">and A-MPR values </w:t>
      </w:r>
      <w:r w:rsidR="00E936C3" w:rsidRPr="00E936C3">
        <w:t>for the IOT TDD band</w:t>
      </w:r>
    </w:p>
    <w:p w14:paraId="052B1E0C" w14:textId="57760277" w:rsidR="00104BC6" w:rsidRPr="00D867DB" w:rsidRDefault="00104BC6" w:rsidP="00E27B54">
      <w:pPr>
        <w:pStyle w:val="CH"/>
        <w:rPr>
          <w:lang w:val="en-DE"/>
        </w:rPr>
      </w:pPr>
      <w:r w:rsidRPr="002A4457">
        <w:t>WI/SI:</w:t>
      </w:r>
      <w:r w:rsidRPr="002A4457">
        <w:tab/>
      </w:r>
      <w:r w:rsidR="00E936C3" w:rsidRPr="00E936C3">
        <w:rPr>
          <w:lang w:val="en-DE"/>
        </w:rPr>
        <w:t>IoT_NTN_TDD-Core</w:t>
      </w:r>
    </w:p>
    <w:p w14:paraId="6C6D1281" w14:textId="353FB28C" w:rsidR="00104BC6" w:rsidRPr="006C351C" w:rsidRDefault="00104BC6" w:rsidP="00E27B54">
      <w:pPr>
        <w:pStyle w:val="CH"/>
        <w:rPr>
          <w:b w:val="0"/>
        </w:rPr>
      </w:pPr>
      <w:r w:rsidRPr="006C351C">
        <w:t>Release:</w:t>
      </w:r>
      <w:r w:rsidRPr="006C351C">
        <w:tab/>
        <w:t>Rel-</w:t>
      </w:r>
      <w:r w:rsidR="002A79F8" w:rsidRPr="006C351C">
        <w:t>1</w:t>
      </w:r>
      <w:r w:rsidR="00E936C3">
        <w:t>9</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2BCD20C7" w14:textId="77777777" w:rsidR="0014728A" w:rsidRDefault="00FF5898" w:rsidP="0069101C">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rsidR="006548FC">
        <w:t>After</w:t>
      </w:r>
      <w:r w:rsidR="005C6D6D">
        <w:t xml:space="preserve"> </w:t>
      </w:r>
      <w:r w:rsidR="0014728A">
        <w:t xml:space="preserve">that additional NTN bands were defined including a new spectrum WID </w:t>
      </w:r>
      <w:r w:rsidR="00BF6A95">
        <w:fldChar w:fldCharType="begin"/>
      </w:r>
      <w:r w:rsidR="00BF6A95">
        <w:instrText xml:space="preserve"> REF _Ref196749295 \r \h </w:instrText>
      </w:r>
      <w:r w:rsidR="00BF6A95">
        <w:fldChar w:fldCharType="separate"/>
      </w:r>
      <w:r w:rsidR="00BF6A95">
        <w:t>[4]</w:t>
      </w:r>
      <w:r w:rsidR="00BF6A95">
        <w:fldChar w:fldCharType="end"/>
      </w:r>
      <w:r w:rsidR="00D2744D">
        <w:t xml:space="preserve">, which will add the IOT TDD band operating in the same frequency range as the IOT band 254. </w:t>
      </w:r>
    </w:p>
    <w:p w14:paraId="5FE4852F" w14:textId="66D28FA3" w:rsidR="0069101C" w:rsidRDefault="003B6BD0" w:rsidP="0069101C">
      <w:r>
        <w:t xml:space="preserve">During the previous meetings RAN WG4 discussed which regulations should be followed for this IOT TDD band, which NS flags to adopt and, as a result, whether any A-MPR would be needed. </w:t>
      </w:r>
      <w:r w:rsidR="00D2744D">
        <w:t>Thus, in</w:t>
      </w:r>
      <w:r w:rsidR="0058084E">
        <w:t xml:space="preserve"> this discussion paper we provide our </w:t>
      </w:r>
      <w:r>
        <w:t xml:space="preserve">general view on the </w:t>
      </w:r>
      <w:proofErr w:type="gramStart"/>
      <w:r>
        <w:t>aforementioned aspects</w:t>
      </w:r>
      <w:proofErr w:type="gramEnd"/>
      <w:r w:rsidR="0058084E">
        <w:t>.</w:t>
      </w:r>
    </w:p>
    <w:p w14:paraId="67D3F244" w14:textId="77777777" w:rsidR="002D5E54" w:rsidRDefault="002D5E54" w:rsidP="0069101C"/>
    <w:p w14:paraId="6078594E" w14:textId="1F79B2D4" w:rsidR="00DE6BE6" w:rsidRDefault="00FC371C" w:rsidP="00E65966">
      <w:pPr>
        <w:pStyle w:val="Heading1"/>
        <w:keepNext w:val="0"/>
        <w:keepLines w:val="0"/>
      </w:pPr>
      <w:r>
        <w:t>2</w:t>
      </w:r>
      <w:r>
        <w:tab/>
      </w:r>
      <w:r w:rsidR="003B6BD0">
        <w:t>Regulations, NS flags and A-MPR values</w:t>
      </w:r>
    </w:p>
    <w:p w14:paraId="433E3E29" w14:textId="61883911" w:rsidR="00397A5B" w:rsidRDefault="00904564" w:rsidP="00133D4D">
      <w:r>
        <w:t xml:space="preserve">Frequency range of 1610-1626.5MHz and its usage for the MSS services has well established international and local regulations, captured in the corresponding WRC provisions and local standards. This was already discussed by 3GPP in Rel-18 during standardisation of the NTN band 254/n254. And since existing regulations and requirements do not differentiate between the FDD and TDD modes, our understanding is that the same regulatory frameworks can be applied to a new IOT TDD band 249 operating in </w:t>
      </w:r>
      <w:r w:rsidRPr="00904564">
        <w:t>1616</w:t>
      </w:r>
      <w:r>
        <w:t>-</w:t>
      </w:r>
      <w:r w:rsidRPr="00904564">
        <w:t>1626.5</w:t>
      </w:r>
      <w:r>
        <w:t xml:space="preserve">MHz frequency range. To be more precise, in case of FCC it will be covered by Title 47 </w:t>
      </w:r>
      <w:r w:rsidRPr="003B6BD0">
        <w:t>CFR § 25.202</w:t>
      </w:r>
      <w:r>
        <w:t xml:space="preserve"> and </w:t>
      </w:r>
      <w:r w:rsidRPr="003B6BD0">
        <w:t>§ 25.216</w:t>
      </w:r>
      <w:r>
        <w:t xml:space="preserve">; and in case of ETSI it will be ETSI EN 301441. For countries and regions following neither FCC nor ETSI rules, generic 3GPP requirements would apply which are usually based on the international </w:t>
      </w:r>
      <w:r w:rsidR="00D56078">
        <w:t>regulations.</w:t>
      </w:r>
      <w:r>
        <w:t xml:space="preserve"> </w:t>
      </w:r>
      <w:r w:rsidR="00FC13B0">
        <w:t xml:space="preserve"> </w:t>
      </w:r>
    </w:p>
    <w:p w14:paraId="54B766FD" w14:textId="105E8351" w:rsidR="002D5E54" w:rsidRDefault="002D5E54" w:rsidP="00FC13B0">
      <w:pPr>
        <w:pStyle w:val="Proposal"/>
      </w:pPr>
      <w:bookmarkStart w:id="1" w:name="_Toc197706377"/>
      <w:bookmarkStart w:id="2" w:name="_Toc197706997"/>
      <w:bookmarkStart w:id="3" w:name="_Toc197720187"/>
      <w:bookmarkStart w:id="4" w:name="_Toc197720991"/>
      <w:bookmarkStart w:id="5" w:name="_Toc197721055"/>
      <w:r w:rsidRPr="00FC13B0">
        <w:t xml:space="preserve">Proposal </w:t>
      </w:r>
      <w:r w:rsidR="006548FC" w:rsidRPr="00FC13B0">
        <w:t>1</w:t>
      </w:r>
      <w:r w:rsidRPr="00FC13B0">
        <w:t>:</w:t>
      </w:r>
      <w:r w:rsidRPr="00FC13B0">
        <w:tab/>
      </w:r>
      <w:r w:rsidR="003B6BD0">
        <w:t xml:space="preserve">Since a new IOT TDD band 249 falls into the same frequency range as band 254 UL, same international and local regulations can be followed (i.e. ETSI </w:t>
      </w:r>
      <w:r w:rsidR="003B6BD0" w:rsidRPr="003B6BD0">
        <w:t>EN 301 441</w:t>
      </w:r>
      <w:r w:rsidR="003B6BD0">
        <w:t xml:space="preserve">, FCC </w:t>
      </w:r>
      <w:r w:rsidR="00904564">
        <w:t xml:space="preserve">Title </w:t>
      </w:r>
      <w:r w:rsidR="003B6BD0" w:rsidRPr="003B6BD0">
        <w:t>47 CFR § 25.202</w:t>
      </w:r>
      <w:r w:rsidR="003B6BD0">
        <w:t xml:space="preserve"> and </w:t>
      </w:r>
      <w:r w:rsidR="003B6BD0" w:rsidRPr="003B6BD0">
        <w:t>§ 25.216</w:t>
      </w:r>
      <w:r w:rsidR="003B6BD0">
        <w:t>)</w:t>
      </w:r>
      <w:r w:rsidRPr="00FC13B0">
        <w:t>.</w:t>
      </w:r>
      <w:bookmarkEnd w:id="1"/>
      <w:bookmarkEnd w:id="2"/>
      <w:bookmarkEnd w:id="3"/>
      <w:bookmarkEnd w:id="4"/>
      <w:bookmarkEnd w:id="5"/>
    </w:p>
    <w:p w14:paraId="3E7BD95D" w14:textId="77777777" w:rsidR="001A7763" w:rsidRDefault="001A7763" w:rsidP="002F5285"/>
    <w:p w14:paraId="4C48F447" w14:textId="671C29C8" w:rsidR="002F5285" w:rsidRDefault="002F5285" w:rsidP="002F5285">
      <w:r>
        <w:t>Following the same line of considerations as above, a new IOT TDD band can leverage existing NS flags, which were already defined for this frequency range:</w:t>
      </w:r>
    </w:p>
    <w:p w14:paraId="71F15377" w14:textId="7AB854B9" w:rsidR="002F5285" w:rsidRDefault="002F5285" w:rsidP="002F5285">
      <w:pPr>
        <w:pStyle w:val="B1"/>
      </w:pPr>
      <w:r>
        <w:t>-</w:t>
      </w:r>
      <w:r>
        <w:tab/>
        <w:t xml:space="preserve">NS_03N: This NS flag will be used to cover channels </w:t>
      </w:r>
      <w:r w:rsidR="00D74EEB">
        <w:t>configured under</w:t>
      </w:r>
      <w:r>
        <w:t xml:space="preserve"> the FCC regulatory domain</w:t>
      </w:r>
    </w:p>
    <w:p w14:paraId="15C86615" w14:textId="0AE766DF" w:rsidR="002F5285" w:rsidRDefault="002F5285" w:rsidP="002F5285">
      <w:pPr>
        <w:pStyle w:val="B1"/>
      </w:pPr>
      <w:r>
        <w:t>-</w:t>
      </w:r>
      <w:r>
        <w:tab/>
        <w:t xml:space="preserve">NS_04N: This NS flag can be used to cover channels </w:t>
      </w:r>
      <w:r w:rsidR="00D74EEB">
        <w:t xml:space="preserve">configured </w:t>
      </w:r>
      <w:r>
        <w:t>in ETSI 1616-1618.25MHz range</w:t>
      </w:r>
    </w:p>
    <w:p w14:paraId="6B015998" w14:textId="60ADFFF4" w:rsidR="002F5285" w:rsidRDefault="002F5285" w:rsidP="002F5285">
      <w:pPr>
        <w:pStyle w:val="B1"/>
      </w:pPr>
      <w:r>
        <w:t>-</w:t>
      </w:r>
      <w:r>
        <w:tab/>
        <w:t xml:space="preserve">NS_05N: </w:t>
      </w:r>
      <w:r>
        <w:t xml:space="preserve">This NS flag can be used to cover </w:t>
      </w:r>
      <w:r>
        <w:t xml:space="preserve">channels </w:t>
      </w:r>
      <w:r w:rsidR="00D74EEB">
        <w:t xml:space="preserve">configured </w:t>
      </w:r>
      <w:r>
        <w:t xml:space="preserve">in </w:t>
      </w:r>
      <w:r>
        <w:t>ETSI 161</w:t>
      </w:r>
      <w:r>
        <w:t>8.25</w:t>
      </w:r>
      <w:r>
        <w:t>-16</w:t>
      </w:r>
      <w:r>
        <w:t>26</w:t>
      </w:r>
      <w:r>
        <w:t>.5MHz range</w:t>
      </w:r>
      <w:r>
        <w:t xml:space="preserve"> or channels overlapping between this and previous range.</w:t>
      </w:r>
    </w:p>
    <w:p w14:paraId="0E3FCF85" w14:textId="77777777" w:rsidR="002F5285" w:rsidRDefault="002F5285" w:rsidP="002F5285"/>
    <w:p w14:paraId="6E911B28" w14:textId="0C088A8F" w:rsidR="003B6BD0" w:rsidRDefault="003B6BD0" w:rsidP="00FC13B0">
      <w:pPr>
        <w:pStyle w:val="Proposal"/>
      </w:pPr>
      <w:bookmarkStart w:id="6" w:name="_Toc197720188"/>
      <w:bookmarkStart w:id="7" w:name="_Toc197720992"/>
      <w:bookmarkStart w:id="8" w:name="_Toc197721056"/>
      <w:r>
        <w:t>Proposal 2:</w:t>
      </w:r>
      <w:r>
        <w:tab/>
        <w:t>Same NS flags, as for band 254, can be also applied to a new IOT TDD band 249 (i.e. NS_03N for FCC and NS_04N/NS_05N for ETSI)</w:t>
      </w:r>
      <w:bookmarkEnd w:id="6"/>
      <w:bookmarkEnd w:id="7"/>
      <w:bookmarkEnd w:id="8"/>
      <w:r>
        <w:t xml:space="preserve"> </w:t>
      </w:r>
    </w:p>
    <w:p w14:paraId="3E092D94" w14:textId="17D64B52" w:rsidR="00A12C52" w:rsidRDefault="006C1CCC" w:rsidP="00A12C52">
      <w:bookmarkStart w:id="9" w:name="_Toc197706378"/>
      <w:bookmarkStart w:id="10" w:name="_Toc197706998"/>
      <w:bookmarkStart w:id="11" w:name="_Toc197720189"/>
      <w:r>
        <w:lastRenderedPageBreak/>
        <w:t>Band 254 NS flags define local regulatory requirements and, in case of the ETSI regulatory domain, also define A-MPR values needed to comply with the ETSI in-band emission masks. There is an ongoing discussion to finalise band 254 A-MPR values</w:t>
      </w:r>
      <w:r w:rsidR="00A53B38">
        <w:t xml:space="preserve"> (see Annex A for 12, 6 and 3-tone power back-off results)</w:t>
      </w:r>
      <w:r>
        <w:t>, outcome of which can be also applicable to band 249.</w:t>
      </w:r>
      <w:r w:rsidR="00D03250">
        <w:t xml:space="preserve"> Table 2-1 below presents a summary of our power back-off simulations for the concerned frequency range.</w:t>
      </w:r>
    </w:p>
    <w:p w14:paraId="6D899F19" w14:textId="77777777" w:rsidR="00D03250" w:rsidRDefault="00D03250" w:rsidP="00D03250">
      <w:pPr>
        <w:pStyle w:val="TH"/>
      </w:pPr>
      <w:r>
        <w:t>Table 2-1: Summary of A-MPR values</w:t>
      </w:r>
    </w:p>
    <w:tbl>
      <w:tblPr>
        <w:tblStyle w:val="TableGrid"/>
        <w:tblW w:w="0" w:type="auto"/>
        <w:tblLook w:val="04A0" w:firstRow="1" w:lastRow="0" w:firstColumn="1" w:lastColumn="0" w:noHBand="0" w:noVBand="1"/>
      </w:tblPr>
      <w:tblGrid>
        <w:gridCol w:w="988"/>
        <w:gridCol w:w="1275"/>
        <w:gridCol w:w="1418"/>
        <w:gridCol w:w="1559"/>
        <w:gridCol w:w="4391"/>
      </w:tblGrid>
      <w:tr w:rsidR="00D03250" w14:paraId="3A2840A1" w14:textId="77777777" w:rsidTr="0001495D">
        <w:tc>
          <w:tcPr>
            <w:tcW w:w="988" w:type="dxa"/>
            <w:vMerge w:val="restart"/>
          </w:tcPr>
          <w:p w14:paraId="53A97386" w14:textId="77777777" w:rsidR="00D03250" w:rsidRDefault="00D03250" w:rsidP="0001495D">
            <w:pPr>
              <w:pStyle w:val="TAH"/>
            </w:pPr>
            <w:r>
              <w:t>Number of tones</w:t>
            </w:r>
          </w:p>
        </w:tc>
        <w:tc>
          <w:tcPr>
            <w:tcW w:w="1275" w:type="dxa"/>
            <w:vMerge w:val="restart"/>
          </w:tcPr>
          <w:p w14:paraId="26C1B5D2" w14:textId="77777777" w:rsidR="00D03250" w:rsidRDefault="00D03250" w:rsidP="0001495D">
            <w:pPr>
              <w:pStyle w:val="TAH"/>
            </w:pPr>
            <w:r>
              <w:t>FCC</w:t>
            </w:r>
          </w:p>
          <w:p w14:paraId="70690078" w14:textId="77777777" w:rsidR="00D03250" w:rsidRDefault="00D03250" w:rsidP="0001495D">
            <w:pPr>
              <w:pStyle w:val="TAH"/>
            </w:pPr>
            <w:r>
              <w:t>1610-1626.5 MHz</w:t>
            </w:r>
          </w:p>
        </w:tc>
        <w:tc>
          <w:tcPr>
            <w:tcW w:w="2977" w:type="dxa"/>
            <w:gridSpan w:val="2"/>
          </w:tcPr>
          <w:p w14:paraId="0743EADE" w14:textId="77777777" w:rsidR="00D03250" w:rsidRDefault="00D03250" w:rsidP="0001495D">
            <w:pPr>
              <w:pStyle w:val="TAH"/>
            </w:pPr>
            <w:r>
              <w:t>ETSI</w:t>
            </w:r>
          </w:p>
        </w:tc>
        <w:tc>
          <w:tcPr>
            <w:tcW w:w="4391" w:type="dxa"/>
            <w:vMerge w:val="restart"/>
          </w:tcPr>
          <w:p w14:paraId="5395F015" w14:textId="77777777" w:rsidR="00D03250" w:rsidRDefault="00D03250" w:rsidP="0001495D">
            <w:pPr>
              <w:pStyle w:val="TAH"/>
            </w:pPr>
            <w:r>
              <w:t>Comments</w:t>
            </w:r>
          </w:p>
        </w:tc>
      </w:tr>
      <w:tr w:rsidR="00D03250" w14:paraId="63390E55" w14:textId="77777777" w:rsidTr="0001495D">
        <w:tc>
          <w:tcPr>
            <w:tcW w:w="988" w:type="dxa"/>
            <w:vMerge/>
          </w:tcPr>
          <w:p w14:paraId="354422A7" w14:textId="77777777" w:rsidR="00D03250" w:rsidRDefault="00D03250" w:rsidP="0001495D">
            <w:pPr>
              <w:pStyle w:val="TAH"/>
            </w:pPr>
          </w:p>
        </w:tc>
        <w:tc>
          <w:tcPr>
            <w:tcW w:w="1275" w:type="dxa"/>
            <w:vMerge/>
          </w:tcPr>
          <w:p w14:paraId="11F2230F" w14:textId="77777777" w:rsidR="00D03250" w:rsidRDefault="00D03250" w:rsidP="0001495D">
            <w:pPr>
              <w:pStyle w:val="TAH"/>
            </w:pPr>
          </w:p>
        </w:tc>
        <w:tc>
          <w:tcPr>
            <w:tcW w:w="1418" w:type="dxa"/>
          </w:tcPr>
          <w:p w14:paraId="1137A761" w14:textId="77777777" w:rsidR="00D03250" w:rsidRDefault="00D03250" w:rsidP="0001495D">
            <w:pPr>
              <w:pStyle w:val="TAH"/>
            </w:pPr>
            <w:r w:rsidRPr="007557B3">
              <w:t>1610-1618.25</w:t>
            </w:r>
            <w:r>
              <w:t xml:space="preserve"> MHz</w:t>
            </w:r>
          </w:p>
        </w:tc>
        <w:tc>
          <w:tcPr>
            <w:tcW w:w="1559" w:type="dxa"/>
          </w:tcPr>
          <w:p w14:paraId="1F1CFF2B" w14:textId="77777777" w:rsidR="00D03250" w:rsidRDefault="00D03250" w:rsidP="0001495D">
            <w:pPr>
              <w:pStyle w:val="TAH"/>
            </w:pPr>
            <w:r w:rsidRPr="007557B3">
              <w:t>1618.25-1626.5</w:t>
            </w:r>
            <w:r>
              <w:t xml:space="preserve"> MHz</w:t>
            </w:r>
          </w:p>
        </w:tc>
        <w:tc>
          <w:tcPr>
            <w:tcW w:w="4391" w:type="dxa"/>
            <w:vMerge/>
          </w:tcPr>
          <w:p w14:paraId="3675E0AD" w14:textId="77777777" w:rsidR="00D03250" w:rsidRDefault="00D03250" w:rsidP="0001495D">
            <w:pPr>
              <w:pStyle w:val="TAC"/>
            </w:pPr>
          </w:p>
        </w:tc>
      </w:tr>
      <w:tr w:rsidR="00D03250" w14:paraId="63EEDD3C" w14:textId="77777777" w:rsidTr="0001495D">
        <w:tc>
          <w:tcPr>
            <w:tcW w:w="988" w:type="dxa"/>
          </w:tcPr>
          <w:p w14:paraId="1EE7C9A5" w14:textId="77777777" w:rsidR="00D03250" w:rsidRDefault="00D03250" w:rsidP="0001495D">
            <w:pPr>
              <w:pStyle w:val="TAC"/>
            </w:pPr>
            <w:r>
              <w:t>12</w:t>
            </w:r>
          </w:p>
        </w:tc>
        <w:tc>
          <w:tcPr>
            <w:tcW w:w="1275" w:type="dxa"/>
          </w:tcPr>
          <w:p w14:paraId="3D2F6E99" w14:textId="77777777" w:rsidR="00D03250" w:rsidRDefault="00D03250" w:rsidP="0001495D">
            <w:pPr>
              <w:pStyle w:val="TAC"/>
            </w:pPr>
            <w:r>
              <w:t>0</w:t>
            </w:r>
          </w:p>
        </w:tc>
        <w:tc>
          <w:tcPr>
            <w:tcW w:w="1418" w:type="dxa"/>
          </w:tcPr>
          <w:p w14:paraId="5FB2AB23" w14:textId="77777777" w:rsidR="00D03250" w:rsidRDefault="00D03250" w:rsidP="0001495D">
            <w:pPr>
              <w:pStyle w:val="TAC"/>
            </w:pPr>
            <w:r>
              <w:t>0</w:t>
            </w:r>
          </w:p>
        </w:tc>
        <w:tc>
          <w:tcPr>
            <w:tcW w:w="1559" w:type="dxa"/>
          </w:tcPr>
          <w:p w14:paraId="645C4976" w14:textId="77777777" w:rsidR="00D03250" w:rsidRDefault="00D03250" w:rsidP="0001495D">
            <w:pPr>
              <w:pStyle w:val="TAC"/>
            </w:pPr>
            <w:r>
              <w:t>0</w:t>
            </w:r>
          </w:p>
        </w:tc>
        <w:tc>
          <w:tcPr>
            <w:tcW w:w="4391" w:type="dxa"/>
          </w:tcPr>
          <w:p w14:paraId="437B1559" w14:textId="77777777" w:rsidR="00D03250" w:rsidRDefault="00D03250" w:rsidP="0001495D">
            <w:pPr>
              <w:pStyle w:val="TAC"/>
              <w:jc w:val="left"/>
            </w:pPr>
            <w:r>
              <w:t>Full RB 12-tone allocation</w:t>
            </w:r>
          </w:p>
        </w:tc>
      </w:tr>
      <w:tr w:rsidR="00D03250" w14:paraId="1C020E6A" w14:textId="77777777" w:rsidTr="0001495D">
        <w:tc>
          <w:tcPr>
            <w:tcW w:w="988" w:type="dxa"/>
          </w:tcPr>
          <w:p w14:paraId="5DAA21D5" w14:textId="77777777" w:rsidR="00D03250" w:rsidRDefault="00D03250" w:rsidP="0001495D">
            <w:pPr>
              <w:pStyle w:val="TAC"/>
            </w:pPr>
            <w:r>
              <w:t>6</w:t>
            </w:r>
          </w:p>
        </w:tc>
        <w:tc>
          <w:tcPr>
            <w:tcW w:w="1275" w:type="dxa"/>
          </w:tcPr>
          <w:p w14:paraId="62E0DCD1" w14:textId="77777777" w:rsidR="00D03250" w:rsidRDefault="00D03250" w:rsidP="0001495D">
            <w:pPr>
              <w:pStyle w:val="TAC"/>
            </w:pPr>
            <w:r>
              <w:t>0</w:t>
            </w:r>
          </w:p>
        </w:tc>
        <w:tc>
          <w:tcPr>
            <w:tcW w:w="1418" w:type="dxa"/>
          </w:tcPr>
          <w:p w14:paraId="6784221A" w14:textId="77777777" w:rsidR="00D03250" w:rsidRDefault="00D03250" w:rsidP="0001495D">
            <w:pPr>
              <w:pStyle w:val="TAC"/>
            </w:pPr>
            <w:r>
              <w:t>0</w:t>
            </w:r>
          </w:p>
        </w:tc>
        <w:tc>
          <w:tcPr>
            <w:tcW w:w="1559" w:type="dxa"/>
          </w:tcPr>
          <w:p w14:paraId="531D3A07" w14:textId="77777777" w:rsidR="00D03250" w:rsidRDefault="00D03250" w:rsidP="0001495D">
            <w:pPr>
              <w:pStyle w:val="TAC"/>
            </w:pPr>
            <w:r>
              <w:t>1</w:t>
            </w:r>
          </w:p>
        </w:tc>
        <w:tc>
          <w:tcPr>
            <w:tcW w:w="4391" w:type="dxa"/>
          </w:tcPr>
          <w:p w14:paraId="2347FEAE" w14:textId="77777777" w:rsidR="00D03250" w:rsidRDefault="00D03250" w:rsidP="0001495D">
            <w:pPr>
              <w:pStyle w:val="TAC"/>
              <w:jc w:val="left"/>
            </w:pPr>
            <w:r>
              <w:t>0-5 and 6-11 tones</w:t>
            </w:r>
          </w:p>
        </w:tc>
      </w:tr>
      <w:tr w:rsidR="00D03250" w14:paraId="78A848B9" w14:textId="77777777" w:rsidTr="0001495D">
        <w:tc>
          <w:tcPr>
            <w:tcW w:w="988" w:type="dxa"/>
          </w:tcPr>
          <w:p w14:paraId="15EFAAA3" w14:textId="77777777" w:rsidR="00D03250" w:rsidRDefault="00D03250" w:rsidP="0001495D">
            <w:pPr>
              <w:pStyle w:val="TAC"/>
            </w:pPr>
            <w:r>
              <w:t>3</w:t>
            </w:r>
          </w:p>
        </w:tc>
        <w:tc>
          <w:tcPr>
            <w:tcW w:w="1275" w:type="dxa"/>
          </w:tcPr>
          <w:p w14:paraId="2671F68C" w14:textId="77777777" w:rsidR="00D03250" w:rsidRDefault="00D03250" w:rsidP="0001495D">
            <w:pPr>
              <w:pStyle w:val="TAC"/>
            </w:pPr>
            <w:r>
              <w:t>0</w:t>
            </w:r>
          </w:p>
        </w:tc>
        <w:tc>
          <w:tcPr>
            <w:tcW w:w="1418" w:type="dxa"/>
          </w:tcPr>
          <w:p w14:paraId="7D0C2FB3" w14:textId="77777777" w:rsidR="00D03250" w:rsidRDefault="00D03250" w:rsidP="0001495D">
            <w:pPr>
              <w:pStyle w:val="TAC"/>
            </w:pPr>
            <w:r>
              <w:t>0.5</w:t>
            </w:r>
          </w:p>
        </w:tc>
        <w:tc>
          <w:tcPr>
            <w:tcW w:w="1559" w:type="dxa"/>
          </w:tcPr>
          <w:p w14:paraId="578ED3DF" w14:textId="77777777" w:rsidR="00D03250" w:rsidRDefault="00D03250" w:rsidP="0001495D">
            <w:pPr>
              <w:pStyle w:val="TAC"/>
            </w:pPr>
            <w:r>
              <w:t>1.5</w:t>
            </w:r>
          </w:p>
        </w:tc>
        <w:tc>
          <w:tcPr>
            <w:tcW w:w="4391" w:type="dxa"/>
          </w:tcPr>
          <w:p w14:paraId="1D62F6F1" w14:textId="77777777" w:rsidR="00D03250" w:rsidRDefault="00D03250" w:rsidP="0001495D">
            <w:pPr>
              <w:pStyle w:val="TAC"/>
              <w:jc w:val="left"/>
            </w:pPr>
            <w:r>
              <w:t>0-2 and 9-11 tones</w:t>
            </w:r>
          </w:p>
        </w:tc>
      </w:tr>
      <w:tr w:rsidR="00D03250" w14:paraId="0FD2EC7C" w14:textId="77777777" w:rsidTr="0001495D">
        <w:tc>
          <w:tcPr>
            <w:tcW w:w="988" w:type="dxa"/>
          </w:tcPr>
          <w:p w14:paraId="6AFAE4DB" w14:textId="77777777" w:rsidR="00D03250" w:rsidRDefault="00D03250" w:rsidP="0001495D">
            <w:pPr>
              <w:pStyle w:val="TAC"/>
            </w:pPr>
            <w:r>
              <w:t>1</w:t>
            </w:r>
          </w:p>
        </w:tc>
        <w:tc>
          <w:tcPr>
            <w:tcW w:w="1275" w:type="dxa"/>
          </w:tcPr>
          <w:p w14:paraId="362A84F1" w14:textId="77777777" w:rsidR="00D03250" w:rsidRDefault="00D03250" w:rsidP="0001495D">
            <w:pPr>
              <w:pStyle w:val="TAC"/>
            </w:pPr>
            <w:r>
              <w:t>0</w:t>
            </w:r>
          </w:p>
        </w:tc>
        <w:tc>
          <w:tcPr>
            <w:tcW w:w="1418" w:type="dxa"/>
          </w:tcPr>
          <w:p w14:paraId="183AF43C" w14:textId="77777777" w:rsidR="00D03250" w:rsidRDefault="00D03250" w:rsidP="0001495D">
            <w:pPr>
              <w:pStyle w:val="TAC"/>
            </w:pPr>
            <w:r>
              <w:t>2</w:t>
            </w:r>
          </w:p>
        </w:tc>
        <w:tc>
          <w:tcPr>
            <w:tcW w:w="1559" w:type="dxa"/>
          </w:tcPr>
          <w:p w14:paraId="28B85DBE" w14:textId="77777777" w:rsidR="00D03250" w:rsidRDefault="00D03250" w:rsidP="0001495D">
            <w:pPr>
              <w:pStyle w:val="TAC"/>
            </w:pPr>
            <w:r>
              <w:t>2</w:t>
            </w:r>
          </w:p>
        </w:tc>
        <w:tc>
          <w:tcPr>
            <w:tcW w:w="4391" w:type="dxa"/>
          </w:tcPr>
          <w:p w14:paraId="43F1017D" w14:textId="339C3347" w:rsidR="00D03250" w:rsidRDefault="00D03250" w:rsidP="0001495D">
            <w:pPr>
              <w:pStyle w:val="TAC"/>
              <w:jc w:val="left"/>
            </w:pPr>
            <w:r>
              <w:t>2dB A-MPR is applied to ETSI because of the existing -15dB</w:t>
            </w:r>
            <w:r w:rsidR="00F30149">
              <w:t>W</w:t>
            </w:r>
            <w:r>
              <w:t>/4kHz limit, i.e. 21.3dBm/15kHz</w:t>
            </w:r>
          </w:p>
        </w:tc>
      </w:tr>
    </w:tbl>
    <w:p w14:paraId="29C6FCE2" w14:textId="77777777" w:rsidR="00D03250" w:rsidRPr="00BF6A95" w:rsidRDefault="00D03250" w:rsidP="00D03250">
      <w:r>
        <w:t xml:space="preserve"> </w:t>
      </w:r>
    </w:p>
    <w:p w14:paraId="69E5C5ED" w14:textId="77777777" w:rsidR="00D03250" w:rsidRDefault="00D03250" w:rsidP="00A12C52"/>
    <w:p w14:paraId="23EE9C1F" w14:textId="0058F39F" w:rsidR="00FC13B0" w:rsidRPr="00FC13B0" w:rsidRDefault="00FC13B0" w:rsidP="00FC13B0">
      <w:pPr>
        <w:pStyle w:val="Proposal"/>
      </w:pPr>
      <w:bookmarkStart w:id="12" w:name="_Toc197720993"/>
      <w:bookmarkStart w:id="13" w:name="_Toc197721057"/>
      <w:r w:rsidRPr="00FC13B0">
        <w:t xml:space="preserve">Proposal </w:t>
      </w:r>
      <w:r w:rsidR="003B6BD0">
        <w:t>3</w:t>
      </w:r>
      <w:r w:rsidRPr="00FC13B0">
        <w:t>:</w:t>
      </w:r>
      <w:r w:rsidRPr="00FC13B0">
        <w:tab/>
      </w:r>
      <w:r w:rsidR="00A12C52">
        <w:t xml:space="preserve">Same </w:t>
      </w:r>
      <w:r w:rsidR="003B6BD0">
        <w:t>A-MPR values</w:t>
      </w:r>
      <w:r w:rsidR="00A12C52">
        <w:t>, as for band 254, can be also adopted</w:t>
      </w:r>
      <w:r w:rsidR="00904564">
        <w:t xml:space="preserve"> for </w:t>
      </w:r>
      <w:r w:rsidR="00A12C52">
        <w:t>a new IOT TDD band</w:t>
      </w:r>
      <w:r w:rsidR="00904564">
        <w:t xml:space="preserve"> 249</w:t>
      </w:r>
      <w:r w:rsidRPr="00FC13B0">
        <w:t>.</w:t>
      </w:r>
      <w:bookmarkEnd w:id="9"/>
      <w:bookmarkEnd w:id="10"/>
      <w:bookmarkEnd w:id="11"/>
      <w:bookmarkEnd w:id="12"/>
      <w:bookmarkEnd w:id="13"/>
      <w:r w:rsidRPr="00FC13B0">
        <w:t xml:space="preserve"> </w:t>
      </w:r>
    </w:p>
    <w:p w14:paraId="34740311" w14:textId="22C84861" w:rsidR="00DC0095" w:rsidRPr="00DC0095" w:rsidRDefault="00DC0095" w:rsidP="00D770BA">
      <w:pPr>
        <w:pStyle w:val="B1"/>
        <w:ind w:left="0" w:firstLine="0"/>
      </w:pPr>
      <w:r>
        <w:t xml:space="preserve">  </w:t>
      </w:r>
    </w:p>
    <w:p w14:paraId="34C99636" w14:textId="7917B134" w:rsidR="008E7986" w:rsidRDefault="008E7986" w:rsidP="00E27B54">
      <w:pPr>
        <w:pStyle w:val="Heading1"/>
        <w:keepNext w:val="0"/>
        <w:keepLines w:val="0"/>
      </w:pPr>
      <w:r>
        <w:t>3</w:t>
      </w:r>
      <w:r>
        <w:tab/>
        <w:t>Conclusions</w:t>
      </w:r>
    </w:p>
    <w:p w14:paraId="414E3112" w14:textId="5648C7B1" w:rsidR="004902DB" w:rsidRPr="003767E7" w:rsidRDefault="002B7640" w:rsidP="002D5E54">
      <w:r>
        <w:t xml:space="preserve">In this discussion paper we have presented our considerations on the IOT TDD band regulations, NS flags and A-MPR values. Our </w:t>
      </w:r>
      <w:r w:rsidR="00081B26">
        <w:t>understanding</w:t>
      </w:r>
      <w:r>
        <w:t xml:space="preserve"> is that since this band falls into the same frequency range as band 254 UL, the same international and local regulations would apply meaning that we can leverage existing NS flags with associated A-MPR values. </w:t>
      </w:r>
    </w:p>
    <w:p w14:paraId="102A2DE2" w14:textId="77777777" w:rsidR="00CD38F4" w:rsidRDefault="00CD38F4" w:rsidP="00CD38F4"/>
    <w:p w14:paraId="1E45533C" w14:textId="77777777" w:rsidR="002B7640" w:rsidRDefault="00CD38F4">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2B7640">
        <w:rPr>
          <w:noProof/>
        </w:rPr>
        <w:t>Proposal 1:</w:t>
      </w:r>
      <w:r w:rsidR="002B7640">
        <w:rPr>
          <w:rFonts w:asciiTheme="minorHAnsi" w:eastAsiaTheme="minorEastAsia" w:hAnsiTheme="minorHAnsi" w:cstheme="minorBidi"/>
          <w:b w:val="0"/>
          <w:bCs w:val="0"/>
          <w:noProof/>
          <w:kern w:val="2"/>
          <w:sz w:val="24"/>
          <w:szCs w:val="24"/>
          <w:lang w:val="en-DE" w:eastAsia="ko-KR"/>
          <w14:ligatures w14:val="standardContextual"/>
        </w:rPr>
        <w:tab/>
      </w:r>
      <w:r w:rsidR="002B7640">
        <w:rPr>
          <w:noProof/>
        </w:rPr>
        <w:t>Since a new IOT TDD band 249 falls into the same frequency range as band 254 UL, same international and local regulations can be followed (i.e. ETSI EN 301 441, FCC Title 47 CFR § 25.202 and § 25.216).</w:t>
      </w:r>
    </w:p>
    <w:p w14:paraId="6496DECA" w14:textId="77777777" w:rsidR="002B7640" w:rsidRDefault="002B7640">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Same NS flags, as for band 254, can be also applied to a new IOT TDD band 249 (i.e. NS_03N for FCC and NS_04N/NS_05N for ETSI)</w:t>
      </w:r>
    </w:p>
    <w:p w14:paraId="0AEDDBDB" w14:textId="77777777" w:rsidR="002B7640" w:rsidRDefault="002B7640">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3:</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Same A-MPR values, as for band 254, can be also adopted for a new IOT TDD band 249.</w:t>
      </w:r>
    </w:p>
    <w:p w14:paraId="6D0DED47" w14:textId="62180652" w:rsidR="002D16A6" w:rsidRDefault="00CD38F4" w:rsidP="00CD38F4">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end"/>
      </w:r>
      <w:r w:rsidR="00B12ADA" w:rsidRPr="00477364">
        <w:rPr>
          <w:b w:val="0"/>
          <w:bCs w:val="0"/>
        </w:rPr>
        <w:fldChar w:fldCharType="begin"/>
      </w:r>
      <w:r w:rsidR="00B12ADA" w:rsidRPr="00477364">
        <w:rPr>
          <w:b w:val="0"/>
          <w:bCs w:val="0"/>
        </w:rPr>
        <w:instrText xml:space="preserve"> TOC \n \t "Proposal,1" </w:instrText>
      </w:r>
      <w:r w:rsidR="00B12ADA" w:rsidRPr="00477364">
        <w:rPr>
          <w:b w:val="0"/>
          <w:bCs w:val="0"/>
        </w:rPr>
        <w:fldChar w:fldCharType="separate"/>
      </w:r>
    </w:p>
    <w:p w14:paraId="0A9AC9A5" w14:textId="7F1A9031" w:rsidR="005041D3" w:rsidRPr="009A598E" w:rsidRDefault="00B12ADA" w:rsidP="00B12ADA">
      <w:pPr>
        <w:pStyle w:val="Heading1"/>
        <w:keepNext w:val="0"/>
        <w:keepLines w:val="0"/>
      </w:pPr>
      <w:r w:rsidRPr="00477364">
        <w:rPr>
          <w:b/>
          <w:bCs/>
        </w:rPr>
        <w:fldChar w:fldCharType="end"/>
      </w:r>
      <w:r w:rsidR="009A598E">
        <w:t>4</w:t>
      </w:r>
      <w:r w:rsidR="009A598E">
        <w:tab/>
        <w:t>References</w:t>
      </w:r>
    </w:p>
    <w:p w14:paraId="71413AD7" w14:textId="77777777" w:rsidR="00FF5898" w:rsidRPr="004D3578" w:rsidRDefault="00FF5898" w:rsidP="00FF5898">
      <w:pPr>
        <w:pStyle w:val="EX"/>
        <w:numPr>
          <w:ilvl w:val="0"/>
          <w:numId w:val="5"/>
        </w:numPr>
      </w:pPr>
      <w:bookmarkStart w:id="14" w:name="_Ref13820109"/>
      <w:r w:rsidRPr="00804854">
        <w:t>RP-193234</w:t>
      </w:r>
      <w:r>
        <w:t>, "</w:t>
      </w:r>
      <w:r w:rsidRPr="00804854">
        <w:t>Solutions for NR to support non-terrestrial networks (NTN)</w:t>
      </w:r>
      <w:r>
        <w:t>", Thales</w:t>
      </w:r>
      <w:bookmarkEnd w:id="14"/>
    </w:p>
    <w:p w14:paraId="6E7B37CC" w14:textId="77777777" w:rsidR="00FF5898" w:rsidRDefault="00FF5898" w:rsidP="00FF5898">
      <w:pPr>
        <w:pStyle w:val="EX"/>
        <w:numPr>
          <w:ilvl w:val="0"/>
          <w:numId w:val="5"/>
        </w:numPr>
      </w:pPr>
      <w:bookmarkStart w:id="15" w:name="_Ref126142327"/>
      <w:r w:rsidRPr="00F55FAD">
        <w:t>RP-223431</w:t>
      </w:r>
      <w:r>
        <w:t>, "</w:t>
      </w:r>
      <w:r w:rsidRPr="00F55FAD">
        <w:t>New WID on Introduction of the satellite L-/S-band</w:t>
      </w:r>
      <w:r>
        <w:t>", Globalstar, Apple</w:t>
      </w:r>
      <w:bookmarkEnd w:id="15"/>
    </w:p>
    <w:p w14:paraId="0667E82B" w14:textId="14C8CAFF" w:rsidR="00162134" w:rsidRDefault="00162134" w:rsidP="00FF5898">
      <w:pPr>
        <w:pStyle w:val="EX"/>
        <w:numPr>
          <w:ilvl w:val="0"/>
          <w:numId w:val="5"/>
        </w:numPr>
      </w:pPr>
      <w:bookmarkStart w:id="16" w:name="_Ref197690259"/>
      <w:r w:rsidRPr="00162134">
        <w:t>RP-230792</w:t>
      </w:r>
      <w:r>
        <w:t>, "</w:t>
      </w:r>
      <w:r w:rsidRPr="00162134">
        <w:t>New WI</w:t>
      </w:r>
      <w:r>
        <w:t>D</w:t>
      </w:r>
      <w:r w:rsidRPr="00162134">
        <w:t>: FDD LTE band (L+S band) for IoT NTN operation</w:t>
      </w:r>
      <w:r>
        <w:t>", MediaTek</w:t>
      </w:r>
      <w:bookmarkEnd w:id="16"/>
    </w:p>
    <w:p w14:paraId="4F3BD7E6" w14:textId="370F3CFF" w:rsidR="00FC68BC" w:rsidRDefault="00F55516" w:rsidP="00FC68BC">
      <w:pPr>
        <w:pStyle w:val="EX"/>
      </w:pPr>
      <w:bookmarkStart w:id="17" w:name="_Ref196749295"/>
      <w:r w:rsidRPr="00F55516">
        <w:t>RP-242415</w:t>
      </w:r>
      <w:r>
        <w:t>, "</w:t>
      </w:r>
      <w:r w:rsidRPr="00F55516">
        <w:t>New WID for introduction of IoT-NTN TDD mode</w:t>
      </w:r>
      <w:r>
        <w:t>", Iridium Satellite LLC</w:t>
      </w:r>
      <w:bookmarkEnd w:id="17"/>
    </w:p>
    <w:p w14:paraId="6B127CF0" w14:textId="065C2D13" w:rsidR="00FC68BC" w:rsidRDefault="00444CE2" w:rsidP="00FC68BC">
      <w:pPr>
        <w:pStyle w:val="EX"/>
      </w:pPr>
      <w:bookmarkStart w:id="18" w:name="_Ref197706010"/>
      <w:r w:rsidRPr="00444CE2">
        <w:t>R4-2505407</w:t>
      </w:r>
      <w:r>
        <w:t>, "</w:t>
      </w:r>
      <w:r w:rsidRPr="00444CE2">
        <w:t>Clarification for the PSD limits for a UE operating in 1610-1626.5 MHz frequency range</w:t>
      </w:r>
      <w:r>
        <w:t>", Apple, Globalstar</w:t>
      </w:r>
      <w:bookmarkEnd w:id="0"/>
      <w:bookmarkEnd w:id="18"/>
    </w:p>
    <w:p w14:paraId="444EA5F5" w14:textId="77777777" w:rsidR="00A12C52" w:rsidRDefault="00A12C52" w:rsidP="00A12C52">
      <w:pPr>
        <w:pStyle w:val="EX"/>
        <w:numPr>
          <w:ilvl w:val="0"/>
          <w:numId w:val="0"/>
        </w:numPr>
        <w:ind w:left="369" w:hanging="369"/>
      </w:pPr>
    </w:p>
    <w:p w14:paraId="24D9E4BD" w14:textId="5628DA5C" w:rsidR="00A12C52" w:rsidRDefault="00A12C52">
      <w:pPr>
        <w:spacing w:after="0"/>
      </w:pPr>
      <w:r>
        <w:br w:type="page"/>
      </w:r>
    </w:p>
    <w:p w14:paraId="784DE1FF" w14:textId="06058C65" w:rsidR="00A12C52" w:rsidRDefault="00AA06F1" w:rsidP="00AA06F1">
      <w:pPr>
        <w:pStyle w:val="Heading8"/>
      </w:pPr>
      <w:r>
        <w:lastRenderedPageBreak/>
        <w:t>Annex A: Power back-off results for 12, 6 and 3-tone allocations</w:t>
      </w:r>
    </w:p>
    <w:p w14:paraId="3883761E" w14:textId="77777777" w:rsidR="00AA06F1" w:rsidRDefault="00AA06F1" w:rsidP="00AA06F1"/>
    <w:p w14:paraId="265726A1" w14:textId="77777777" w:rsidR="00AA06F1" w:rsidRDefault="00AA06F1" w:rsidP="00AA06F1">
      <w:r w:rsidRPr="00397A5B">
        <w:rPr>
          <w:noProof/>
        </w:rPr>
        <w:drawing>
          <wp:inline distT="0" distB="0" distL="0" distR="0" wp14:anchorId="2D28D10D" wp14:editId="11E89BBE">
            <wp:extent cx="1954800" cy="1602000"/>
            <wp:effectExtent l="0" t="0" r="1270" b="0"/>
            <wp:docPr id="1406481960" name="Picture 1" descr="A graph of a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481960" name="Picture 1" descr="A graph of a frequency&#10;&#10;AI-generated content may be incorrect."/>
                    <pic:cNvPicPr/>
                  </pic:nvPicPr>
                  <pic:blipFill>
                    <a:blip r:embed="rId9"/>
                    <a:stretch>
                      <a:fillRect/>
                    </a:stretch>
                  </pic:blipFill>
                  <pic:spPr>
                    <a:xfrm>
                      <a:off x="0" y="0"/>
                      <a:ext cx="1954800" cy="1602000"/>
                    </a:xfrm>
                    <a:prstGeom prst="rect">
                      <a:avLst/>
                    </a:prstGeom>
                  </pic:spPr>
                </pic:pic>
              </a:graphicData>
            </a:graphic>
          </wp:inline>
        </w:drawing>
      </w:r>
      <w:r>
        <w:t xml:space="preserve">  </w:t>
      </w:r>
      <w:r w:rsidRPr="00397A5B">
        <w:rPr>
          <w:noProof/>
        </w:rPr>
        <w:drawing>
          <wp:inline distT="0" distB="0" distL="0" distR="0" wp14:anchorId="23AB8E75" wp14:editId="0784EE75">
            <wp:extent cx="4078800" cy="1627200"/>
            <wp:effectExtent l="0" t="0" r="0" b="0"/>
            <wp:docPr id="14127608" name="Picture 1" descr="A graph of a graph of a graph of a graph of a graph of a graph of a graph of a graph of a graph of a graph of a graph of a graph of a graph of&#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608" name="Picture 1" descr="A graph of a graph of a graph of a graph of a graph of a graph of a graph of a graph of a graph of a graph of a graph of a graph of a graph of&#10;&#10;AI-generated content may be incorrect."/>
                    <pic:cNvPicPr/>
                  </pic:nvPicPr>
                  <pic:blipFill>
                    <a:blip r:embed="rId10"/>
                    <a:stretch>
                      <a:fillRect/>
                    </a:stretch>
                  </pic:blipFill>
                  <pic:spPr>
                    <a:xfrm>
                      <a:off x="0" y="0"/>
                      <a:ext cx="4078800" cy="1627200"/>
                    </a:xfrm>
                    <a:prstGeom prst="rect">
                      <a:avLst/>
                    </a:prstGeom>
                  </pic:spPr>
                </pic:pic>
              </a:graphicData>
            </a:graphic>
          </wp:inline>
        </w:drawing>
      </w:r>
    </w:p>
    <w:p w14:paraId="7871BE22" w14:textId="43AB93BB" w:rsidR="00AA06F1" w:rsidRDefault="00AA06F1" w:rsidP="00AA06F1">
      <w:pPr>
        <w:pStyle w:val="TF"/>
      </w:pPr>
      <w:r>
        <w:t xml:space="preserve">Figure </w:t>
      </w:r>
      <w:r>
        <w:t>A</w:t>
      </w:r>
      <w:r>
        <w:t>-1: 12-tone spectrum plots (FCC, ETSI sub-range 1 and 2)</w:t>
      </w:r>
    </w:p>
    <w:p w14:paraId="3E9821C7" w14:textId="77777777" w:rsidR="00AA06F1" w:rsidRDefault="00AA06F1" w:rsidP="00AA06F1"/>
    <w:p w14:paraId="6D5499D8" w14:textId="77777777" w:rsidR="00AA06F1" w:rsidRDefault="00AA06F1" w:rsidP="00AA06F1">
      <w:r w:rsidRPr="00397A5B">
        <w:rPr>
          <w:noProof/>
        </w:rPr>
        <w:drawing>
          <wp:inline distT="0" distB="0" distL="0" distR="0" wp14:anchorId="11BCAAB7" wp14:editId="0DEDE867">
            <wp:extent cx="1933200" cy="1573200"/>
            <wp:effectExtent l="0" t="0" r="0" b="1905"/>
            <wp:docPr id="672934706" name="Picture 1" descr="A graph of a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934706" name="Picture 1" descr="A graph of a frequency&#10;&#10;AI-generated content may be incorrect."/>
                    <pic:cNvPicPr/>
                  </pic:nvPicPr>
                  <pic:blipFill>
                    <a:blip r:embed="rId11"/>
                    <a:stretch>
                      <a:fillRect/>
                    </a:stretch>
                  </pic:blipFill>
                  <pic:spPr>
                    <a:xfrm>
                      <a:off x="0" y="0"/>
                      <a:ext cx="1933200" cy="1573200"/>
                    </a:xfrm>
                    <a:prstGeom prst="rect">
                      <a:avLst/>
                    </a:prstGeom>
                  </pic:spPr>
                </pic:pic>
              </a:graphicData>
            </a:graphic>
          </wp:inline>
        </w:drawing>
      </w:r>
      <w:r>
        <w:t xml:space="preserve">   </w:t>
      </w:r>
      <w:r w:rsidRPr="00397A5B">
        <w:rPr>
          <w:noProof/>
        </w:rPr>
        <w:drawing>
          <wp:inline distT="0" distB="0" distL="0" distR="0" wp14:anchorId="7AF97A8D" wp14:editId="4FDF69D5">
            <wp:extent cx="4082400" cy="1594800"/>
            <wp:effectExtent l="0" t="0" r="0" b="5715"/>
            <wp:docPr id="68018043" name="Picture 1" descr="A graph of a graph of power and pow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18043" name="Picture 1" descr="A graph of a graph of power and power&#10;&#10;AI-generated content may be incorrect."/>
                    <pic:cNvPicPr/>
                  </pic:nvPicPr>
                  <pic:blipFill>
                    <a:blip r:embed="rId12"/>
                    <a:stretch>
                      <a:fillRect/>
                    </a:stretch>
                  </pic:blipFill>
                  <pic:spPr>
                    <a:xfrm>
                      <a:off x="0" y="0"/>
                      <a:ext cx="4082400" cy="1594800"/>
                    </a:xfrm>
                    <a:prstGeom prst="rect">
                      <a:avLst/>
                    </a:prstGeom>
                  </pic:spPr>
                </pic:pic>
              </a:graphicData>
            </a:graphic>
          </wp:inline>
        </w:drawing>
      </w:r>
    </w:p>
    <w:p w14:paraId="619EE967" w14:textId="0443ECA4" w:rsidR="00AA06F1" w:rsidRDefault="00AA06F1" w:rsidP="00AA06F1">
      <w:pPr>
        <w:pStyle w:val="TF"/>
      </w:pPr>
      <w:r>
        <w:t xml:space="preserve">Figure </w:t>
      </w:r>
      <w:r>
        <w:t>A</w:t>
      </w:r>
      <w:r>
        <w:t>-2: 6-tone spectrum plots (FCC, ETSI sub-range 1 and 2)</w:t>
      </w:r>
    </w:p>
    <w:p w14:paraId="286D1107" w14:textId="77777777" w:rsidR="00AA06F1" w:rsidRDefault="00AA06F1" w:rsidP="00AA06F1"/>
    <w:p w14:paraId="7B32EFA3" w14:textId="77777777" w:rsidR="00AA06F1" w:rsidRDefault="00AA06F1" w:rsidP="00AA06F1">
      <w:r w:rsidRPr="00397A5B">
        <w:rPr>
          <w:noProof/>
        </w:rPr>
        <w:drawing>
          <wp:inline distT="0" distB="0" distL="0" distR="0" wp14:anchorId="48EBFEE6" wp14:editId="209E9453">
            <wp:extent cx="1954800" cy="1594800"/>
            <wp:effectExtent l="0" t="0" r="1270" b="5715"/>
            <wp:docPr id="969649538" name="Picture 1" descr="A graph of a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649538" name="Picture 1" descr="A graph of a frequency&#10;&#10;AI-generated content may be incorrect."/>
                    <pic:cNvPicPr/>
                  </pic:nvPicPr>
                  <pic:blipFill>
                    <a:blip r:embed="rId13"/>
                    <a:stretch>
                      <a:fillRect/>
                    </a:stretch>
                  </pic:blipFill>
                  <pic:spPr>
                    <a:xfrm>
                      <a:off x="0" y="0"/>
                      <a:ext cx="1954800" cy="1594800"/>
                    </a:xfrm>
                    <a:prstGeom prst="rect">
                      <a:avLst/>
                    </a:prstGeom>
                  </pic:spPr>
                </pic:pic>
              </a:graphicData>
            </a:graphic>
          </wp:inline>
        </w:drawing>
      </w:r>
      <w:r>
        <w:t xml:space="preserve">  </w:t>
      </w:r>
      <w:r w:rsidRPr="00397A5B">
        <w:rPr>
          <w:noProof/>
        </w:rPr>
        <w:drawing>
          <wp:inline distT="0" distB="0" distL="0" distR="0" wp14:anchorId="7EACF4A9" wp14:editId="4C3306A8">
            <wp:extent cx="3945600" cy="1591200"/>
            <wp:effectExtent l="0" t="0" r="4445" b="0"/>
            <wp:docPr id="143568896" name="Picture 1" descr="A graph of a graph of a graph of a graph of a graph of a graph of a graph of a graph of a graph of a graph of a graph of a graph of a graph of&#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68896" name="Picture 1" descr="A graph of a graph of a graph of a graph of a graph of a graph of a graph of a graph of a graph of a graph of a graph of a graph of a graph of&#10;&#10;AI-generated content may be incorrect."/>
                    <pic:cNvPicPr/>
                  </pic:nvPicPr>
                  <pic:blipFill>
                    <a:blip r:embed="rId14"/>
                    <a:stretch>
                      <a:fillRect/>
                    </a:stretch>
                  </pic:blipFill>
                  <pic:spPr>
                    <a:xfrm>
                      <a:off x="0" y="0"/>
                      <a:ext cx="3945600" cy="1591200"/>
                    </a:xfrm>
                    <a:prstGeom prst="rect">
                      <a:avLst/>
                    </a:prstGeom>
                  </pic:spPr>
                </pic:pic>
              </a:graphicData>
            </a:graphic>
          </wp:inline>
        </w:drawing>
      </w:r>
    </w:p>
    <w:p w14:paraId="6C2045F6" w14:textId="041BCB10" w:rsidR="00AA06F1" w:rsidRDefault="00AA06F1" w:rsidP="00AA06F1">
      <w:pPr>
        <w:pStyle w:val="TF"/>
      </w:pPr>
      <w:r>
        <w:t xml:space="preserve">Figure </w:t>
      </w:r>
      <w:r>
        <w:t>A</w:t>
      </w:r>
      <w:r>
        <w:t>-</w:t>
      </w:r>
      <w:r>
        <w:t>3</w:t>
      </w:r>
      <w:r>
        <w:t>: 3-tone spectrum plots (FCC, ETSI sub-range 1 and 2)</w:t>
      </w:r>
    </w:p>
    <w:p w14:paraId="40F174DA" w14:textId="77777777" w:rsidR="00AA06F1" w:rsidRPr="00AA06F1" w:rsidRDefault="00AA06F1" w:rsidP="00AA06F1"/>
    <w:sectPr w:rsidR="00AA06F1" w:rsidRPr="00AA06F1" w:rsidSect="004B5470">
      <w:headerReference w:type="default" r:id="rId15"/>
      <w:footerReference w:type="default" r:id="rId16"/>
      <w:footerReference w:type="first" r:id="rId17"/>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95668" w14:textId="77777777" w:rsidR="00830C80" w:rsidRDefault="00830C80">
      <w:r>
        <w:separator/>
      </w:r>
    </w:p>
  </w:endnote>
  <w:endnote w:type="continuationSeparator" w:id="0">
    <w:p w14:paraId="636434CE" w14:textId="77777777" w:rsidR="00830C80" w:rsidRDefault="00830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BD28C" w14:textId="77777777" w:rsidR="00830C80" w:rsidRDefault="00830C80">
      <w:r>
        <w:separator/>
      </w:r>
    </w:p>
  </w:footnote>
  <w:footnote w:type="continuationSeparator" w:id="0">
    <w:p w14:paraId="431CAEF8" w14:textId="77777777" w:rsidR="00830C80" w:rsidRDefault="00830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1"/>
  </w:num>
  <w:num w:numId="4" w16cid:durableId="811140442">
    <w:abstractNumId w:val="11"/>
  </w:num>
  <w:num w:numId="5" w16cid:durableId="1217669394">
    <w:abstractNumId w:val="2"/>
  </w:num>
  <w:num w:numId="6" w16cid:durableId="605580112">
    <w:abstractNumId w:val="2"/>
  </w:num>
  <w:num w:numId="7" w16cid:durableId="847063367">
    <w:abstractNumId w:val="6"/>
  </w:num>
  <w:num w:numId="8" w16cid:durableId="1615483003">
    <w:abstractNumId w:val="4"/>
  </w:num>
  <w:num w:numId="9" w16cid:durableId="851380668">
    <w:abstractNumId w:val="3"/>
  </w:num>
  <w:num w:numId="10" w16cid:durableId="1065031371">
    <w:abstractNumId w:val="5"/>
  </w:num>
  <w:num w:numId="11" w16cid:durableId="1240287691">
    <w:abstractNumId w:val="8"/>
  </w:num>
  <w:num w:numId="12" w16cid:durableId="1440906995">
    <w:abstractNumId w:val="7"/>
  </w:num>
  <w:num w:numId="13" w16cid:durableId="1987856031">
    <w:abstractNumId w:val="10"/>
  </w:num>
  <w:num w:numId="14" w16cid:durableId="2270362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0C47"/>
    <w:rsid w:val="00022584"/>
    <w:rsid w:val="00024025"/>
    <w:rsid w:val="00025132"/>
    <w:rsid w:val="00026A8F"/>
    <w:rsid w:val="0003171C"/>
    <w:rsid w:val="00033397"/>
    <w:rsid w:val="00033F3B"/>
    <w:rsid w:val="00040095"/>
    <w:rsid w:val="00041C3E"/>
    <w:rsid w:val="00043A0E"/>
    <w:rsid w:val="000462FF"/>
    <w:rsid w:val="00050D5E"/>
    <w:rsid w:val="00051834"/>
    <w:rsid w:val="000518D2"/>
    <w:rsid w:val="00051967"/>
    <w:rsid w:val="00052A65"/>
    <w:rsid w:val="00052D38"/>
    <w:rsid w:val="00054A22"/>
    <w:rsid w:val="00062023"/>
    <w:rsid w:val="000621AE"/>
    <w:rsid w:val="000629F8"/>
    <w:rsid w:val="00062B99"/>
    <w:rsid w:val="000655A6"/>
    <w:rsid w:val="00070D52"/>
    <w:rsid w:val="0007444D"/>
    <w:rsid w:val="0007793C"/>
    <w:rsid w:val="00080512"/>
    <w:rsid w:val="00081B26"/>
    <w:rsid w:val="0008490B"/>
    <w:rsid w:val="00084DB8"/>
    <w:rsid w:val="000900F3"/>
    <w:rsid w:val="000917BE"/>
    <w:rsid w:val="00093952"/>
    <w:rsid w:val="00094907"/>
    <w:rsid w:val="00096C65"/>
    <w:rsid w:val="00097A46"/>
    <w:rsid w:val="000A2DDD"/>
    <w:rsid w:val="000A365D"/>
    <w:rsid w:val="000A36E3"/>
    <w:rsid w:val="000A44B6"/>
    <w:rsid w:val="000A530C"/>
    <w:rsid w:val="000A632A"/>
    <w:rsid w:val="000A68F3"/>
    <w:rsid w:val="000B0001"/>
    <w:rsid w:val="000B3699"/>
    <w:rsid w:val="000B5B22"/>
    <w:rsid w:val="000B6FC9"/>
    <w:rsid w:val="000C023C"/>
    <w:rsid w:val="000C2808"/>
    <w:rsid w:val="000C47C3"/>
    <w:rsid w:val="000C7248"/>
    <w:rsid w:val="000C7F55"/>
    <w:rsid w:val="000D28CD"/>
    <w:rsid w:val="000D5095"/>
    <w:rsid w:val="000D58AB"/>
    <w:rsid w:val="000D7B92"/>
    <w:rsid w:val="000E023D"/>
    <w:rsid w:val="000E3ACF"/>
    <w:rsid w:val="000E7F52"/>
    <w:rsid w:val="000F3904"/>
    <w:rsid w:val="000F5ABE"/>
    <w:rsid w:val="000F5F19"/>
    <w:rsid w:val="001032BC"/>
    <w:rsid w:val="00104BC6"/>
    <w:rsid w:val="00105023"/>
    <w:rsid w:val="001064E7"/>
    <w:rsid w:val="00106BF6"/>
    <w:rsid w:val="00106D24"/>
    <w:rsid w:val="0011478B"/>
    <w:rsid w:val="00114E2C"/>
    <w:rsid w:val="00115165"/>
    <w:rsid w:val="00115A87"/>
    <w:rsid w:val="00117B20"/>
    <w:rsid w:val="00120DC1"/>
    <w:rsid w:val="00122E3B"/>
    <w:rsid w:val="00131646"/>
    <w:rsid w:val="00133525"/>
    <w:rsid w:val="00133D4D"/>
    <w:rsid w:val="001378AC"/>
    <w:rsid w:val="00141DDF"/>
    <w:rsid w:val="0014728A"/>
    <w:rsid w:val="001502E3"/>
    <w:rsid w:val="00150344"/>
    <w:rsid w:val="001527DF"/>
    <w:rsid w:val="00153861"/>
    <w:rsid w:val="00161A9C"/>
    <w:rsid w:val="00162134"/>
    <w:rsid w:val="00162B64"/>
    <w:rsid w:val="00164651"/>
    <w:rsid w:val="00171755"/>
    <w:rsid w:val="00173178"/>
    <w:rsid w:val="00176C55"/>
    <w:rsid w:val="00177BF7"/>
    <w:rsid w:val="0018138C"/>
    <w:rsid w:val="001825A5"/>
    <w:rsid w:val="001932FD"/>
    <w:rsid w:val="001940D3"/>
    <w:rsid w:val="00197AEF"/>
    <w:rsid w:val="00197FDE"/>
    <w:rsid w:val="001A1D47"/>
    <w:rsid w:val="001A249A"/>
    <w:rsid w:val="001A4C42"/>
    <w:rsid w:val="001A5579"/>
    <w:rsid w:val="001A7763"/>
    <w:rsid w:val="001B1440"/>
    <w:rsid w:val="001B34D7"/>
    <w:rsid w:val="001B34EC"/>
    <w:rsid w:val="001B55F3"/>
    <w:rsid w:val="001B6C60"/>
    <w:rsid w:val="001C21C3"/>
    <w:rsid w:val="001C39DF"/>
    <w:rsid w:val="001D02C2"/>
    <w:rsid w:val="001D03D7"/>
    <w:rsid w:val="001D3AF9"/>
    <w:rsid w:val="001D6D52"/>
    <w:rsid w:val="001D6FE0"/>
    <w:rsid w:val="001D7E7C"/>
    <w:rsid w:val="001E11D4"/>
    <w:rsid w:val="001E44ED"/>
    <w:rsid w:val="001E4F2C"/>
    <w:rsid w:val="001F0C1D"/>
    <w:rsid w:val="001F1132"/>
    <w:rsid w:val="001F168B"/>
    <w:rsid w:val="001F5781"/>
    <w:rsid w:val="001F7D60"/>
    <w:rsid w:val="001F7F82"/>
    <w:rsid w:val="00200328"/>
    <w:rsid w:val="00203852"/>
    <w:rsid w:val="002038BC"/>
    <w:rsid w:val="00203F71"/>
    <w:rsid w:val="00204BA8"/>
    <w:rsid w:val="00205BC2"/>
    <w:rsid w:val="0021118C"/>
    <w:rsid w:val="00215DAD"/>
    <w:rsid w:val="0021693C"/>
    <w:rsid w:val="002347A2"/>
    <w:rsid w:val="002349A1"/>
    <w:rsid w:val="00234D6F"/>
    <w:rsid w:val="002361C7"/>
    <w:rsid w:val="002430C5"/>
    <w:rsid w:val="0024429F"/>
    <w:rsid w:val="002448D4"/>
    <w:rsid w:val="0024493C"/>
    <w:rsid w:val="00247926"/>
    <w:rsid w:val="00250D2B"/>
    <w:rsid w:val="00252476"/>
    <w:rsid w:val="0025773F"/>
    <w:rsid w:val="002616A3"/>
    <w:rsid w:val="002649BE"/>
    <w:rsid w:val="00266CEF"/>
    <w:rsid w:val="002675F0"/>
    <w:rsid w:val="00270751"/>
    <w:rsid w:val="002735AF"/>
    <w:rsid w:val="00276720"/>
    <w:rsid w:val="00276EE4"/>
    <w:rsid w:val="0028060A"/>
    <w:rsid w:val="00282556"/>
    <w:rsid w:val="0028458C"/>
    <w:rsid w:val="00285549"/>
    <w:rsid w:val="00285B74"/>
    <w:rsid w:val="00287759"/>
    <w:rsid w:val="00293332"/>
    <w:rsid w:val="00296216"/>
    <w:rsid w:val="002A006D"/>
    <w:rsid w:val="002A02C9"/>
    <w:rsid w:val="002A3F44"/>
    <w:rsid w:val="002A4457"/>
    <w:rsid w:val="002A76C8"/>
    <w:rsid w:val="002A79F8"/>
    <w:rsid w:val="002B0881"/>
    <w:rsid w:val="002B1504"/>
    <w:rsid w:val="002B160B"/>
    <w:rsid w:val="002B32C6"/>
    <w:rsid w:val="002B6339"/>
    <w:rsid w:val="002B7596"/>
    <w:rsid w:val="002B7640"/>
    <w:rsid w:val="002C3FD9"/>
    <w:rsid w:val="002C5078"/>
    <w:rsid w:val="002C5A06"/>
    <w:rsid w:val="002D16A6"/>
    <w:rsid w:val="002D207F"/>
    <w:rsid w:val="002D2630"/>
    <w:rsid w:val="002D4C09"/>
    <w:rsid w:val="002D5E54"/>
    <w:rsid w:val="002D7E68"/>
    <w:rsid w:val="002E00EE"/>
    <w:rsid w:val="002E24A2"/>
    <w:rsid w:val="002E2B0B"/>
    <w:rsid w:val="002E350A"/>
    <w:rsid w:val="002E4080"/>
    <w:rsid w:val="002F5285"/>
    <w:rsid w:val="002F662D"/>
    <w:rsid w:val="002F6BE3"/>
    <w:rsid w:val="002F6F2B"/>
    <w:rsid w:val="002F747C"/>
    <w:rsid w:val="00300423"/>
    <w:rsid w:val="0030293A"/>
    <w:rsid w:val="00304790"/>
    <w:rsid w:val="00304DE1"/>
    <w:rsid w:val="00305671"/>
    <w:rsid w:val="00305920"/>
    <w:rsid w:val="003131E0"/>
    <w:rsid w:val="0031353C"/>
    <w:rsid w:val="003136A6"/>
    <w:rsid w:val="00316AE1"/>
    <w:rsid w:val="003172DC"/>
    <w:rsid w:val="003224F0"/>
    <w:rsid w:val="00322A0B"/>
    <w:rsid w:val="00322C0B"/>
    <w:rsid w:val="00323B17"/>
    <w:rsid w:val="00324C09"/>
    <w:rsid w:val="00326299"/>
    <w:rsid w:val="00334135"/>
    <w:rsid w:val="00334617"/>
    <w:rsid w:val="00335709"/>
    <w:rsid w:val="003378AE"/>
    <w:rsid w:val="00340356"/>
    <w:rsid w:val="0034052F"/>
    <w:rsid w:val="00342BE4"/>
    <w:rsid w:val="00344627"/>
    <w:rsid w:val="00344A6C"/>
    <w:rsid w:val="00345757"/>
    <w:rsid w:val="0035462D"/>
    <w:rsid w:val="003601DF"/>
    <w:rsid w:val="00362028"/>
    <w:rsid w:val="00364C39"/>
    <w:rsid w:val="00364DB5"/>
    <w:rsid w:val="00366323"/>
    <w:rsid w:val="00370606"/>
    <w:rsid w:val="0037554F"/>
    <w:rsid w:val="003765B8"/>
    <w:rsid w:val="00376964"/>
    <w:rsid w:val="00376ADC"/>
    <w:rsid w:val="00383354"/>
    <w:rsid w:val="003860C9"/>
    <w:rsid w:val="0039394E"/>
    <w:rsid w:val="003944B2"/>
    <w:rsid w:val="00395441"/>
    <w:rsid w:val="00396104"/>
    <w:rsid w:val="00396119"/>
    <w:rsid w:val="00397547"/>
    <w:rsid w:val="00397A5B"/>
    <w:rsid w:val="003A0483"/>
    <w:rsid w:val="003A4243"/>
    <w:rsid w:val="003A5C0D"/>
    <w:rsid w:val="003A6046"/>
    <w:rsid w:val="003B47E1"/>
    <w:rsid w:val="003B4BAF"/>
    <w:rsid w:val="003B5ABB"/>
    <w:rsid w:val="003B6864"/>
    <w:rsid w:val="003B6BD0"/>
    <w:rsid w:val="003C15C2"/>
    <w:rsid w:val="003C3971"/>
    <w:rsid w:val="003C65F9"/>
    <w:rsid w:val="003D17F9"/>
    <w:rsid w:val="003E086C"/>
    <w:rsid w:val="003E249B"/>
    <w:rsid w:val="003E390C"/>
    <w:rsid w:val="003E7753"/>
    <w:rsid w:val="003F4198"/>
    <w:rsid w:val="003F59B1"/>
    <w:rsid w:val="003F68E6"/>
    <w:rsid w:val="00400A77"/>
    <w:rsid w:val="004012FF"/>
    <w:rsid w:val="00410303"/>
    <w:rsid w:val="004161BB"/>
    <w:rsid w:val="00416AC7"/>
    <w:rsid w:val="004171D8"/>
    <w:rsid w:val="0042139E"/>
    <w:rsid w:val="00421933"/>
    <w:rsid w:val="0042311F"/>
    <w:rsid w:val="00423334"/>
    <w:rsid w:val="00427772"/>
    <w:rsid w:val="00430D10"/>
    <w:rsid w:val="00434540"/>
    <w:rsid w:val="004345EC"/>
    <w:rsid w:val="00436AFC"/>
    <w:rsid w:val="00443B1F"/>
    <w:rsid w:val="00444CE2"/>
    <w:rsid w:val="0044760F"/>
    <w:rsid w:val="004509C1"/>
    <w:rsid w:val="0045109D"/>
    <w:rsid w:val="004517D4"/>
    <w:rsid w:val="00453AE1"/>
    <w:rsid w:val="00461B71"/>
    <w:rsid w:val="00463255"/>
    <w:rsid w:val="004634D0"/>
    <w:rsid w:val="0046714E"/>
    <w:rsid w:val="00467E11"/>
    <w:rsid w:val="004709C4"/>
    <w:rsid w:val="00475794"/>
    <w:rsid w:val="00476248"/>
    <w:rsid w:val="004826A9"/>
    <w:rsid w:val="004837BD"/>
    <w:rsid w:val="00485965"/>
    <w:rsid w:val="0048636D"/>
    <w:rsid w:val="00487E97"/>
    <w:rsid w:val="004902DB"/>
    <w:rsid w:val="0049129B"/>
    <w:rsid w:val="004A37DE"/>
    <w:rsid w:val="004B09FC"/>
    <w:rsid w:val="004B12D6"/>
    <w:rsid w:val="004B17F8"/>
    <w:rsid w:val="004B3E42"/>
    <w:rsid w:val="004B5470"/>
    <w:rsid w:val="004B6798"/>
    <w:rsid w:val="004C0A2E"/>
    <w:rsid w:val="004C1601"/>
    <w:rsid w:val="004C3099"/>
    <w:rsid w:val="004C38A8"/>
    <w:rsid w:val="004C753B"/>
    <w:rsid w:val="004C7B37"/>
    <w:rsid w:val="004D1FEB"/>
    <w:rsid w:val="004D3578"/>
    <w:rsid w:val="004E213A"/>
    <w:rsid w:val="004E27ED"/>
    <w:rsid w:val="004E2D77"/>
    <w:rsid w:val="004E38CC"/>
    <w:rsid w:val="004E54A2"/>
    <w:rsid w:val="004E5703"/>
    <w:rsid w:val="004E7FD6"/>
    <w:rsid w:val="004F0988"/>
    <w:rsid w:val="004F1928"/>
    <w:rsid w:val="004F29F1"/>
    <w:rsid w:val="004F3340"/>
    <w:rsid w:val="004F3E3D"/>
    <w:rsid w:val="004F486C"/>
    <w:rsid w:val="004F6857"/>
    <w:rsid w:val="004F78EB"/>
    <w:rsid w:val="004F7B0A"/>
    <w:rsid w:val="00500EE3"/>
    <w:rsid w:val="005041D3"/>
    <w:rsid w:val="00507DB2"/>
    <w:rsid w:val="00510A6E"/>
    <w:rsid w:val="00513C82"/>
    <w:rsid w:val="00514C6F"/>
    <w:rsid w:val="005167FF"/>
    <w:rsid w:val="00517C50"/>
    <w:rsid w:val="00521C1D"/>
    <w:rsid w:val="00523464"/>
    <w:rsid w:val="00524449"/>
    <w:rsid w:val="00524FC0"/>
    <w:rsid w:val="005255F0"/>
    <w:rsid w:val="0053388B"/>
    <w:rsid w:val="00535045"/>
    <w:rsid w:val="00535773"/>
    <w:rsid w:val="00535820"/>
    <w:rsid w:val="00535EF5"/>
    <w:rsid w:val="0053790B"/>
    <w:rsid w:val="00540840"/>
    <w:rsid w:val="0054158B"/>
    <w:rsid w:val="00541C18"/>
    <w:rsid w:val="00543E6C"/>
    <w:rsid w:val="00550D79"/>
    <w:rsid w:val="00554492"/>
    <w:rsid w:val="00555910"/>
    <w:rsid w:val="00557742"/>
    <w:rsid w:val="005618B2"/>
    <w:rsid w:val="00565087"/>
    <w:rsid w:val="0057261C"/>
    <w:rsid w:val="00572A94"/>
    <w:rsid w:val="00572E14"/>
    <w:rsid w:val="00574533"/>
    <w:rsid w:val="005759F9"/>
    <w:rsid w:val="005767D7"/>
    <w:rsid w:val="0058084E"/>
    <w:rsid w:val="005837C8"/>
    <w:rsid w:val="005861FD"/>
    <w:rsid w:val="00590D4B"/>
    <w:rsid w:val="0059102D"/>
    <w:rsid w:val="00592DE0"/>
    <w:rsid w:val="00594E31"/>
    <w:rsid w:val="0059619E"/>
    <w:rsid w:val="005973BE"/>
    <w:rsid w:val="00597F10"/>
    <w:rsid w:val="005A184B"/>
    <w:rsid w:val="005A49AA"/>
    <w:rsid w:val="005A5986"/>
    <w:rsid w:val="005B1383"/>
    <w:rsid w:val="005B2B6A"/>
    <w:rsid w:val="005B35AC"/>
    <w:rsid w:val="005B5018"/>
    <w:rsid w:val="005B5923"/>
    <w:rsid w:val="005C13CE"/>
    <w:rsid w:val="005C5712"/>
    <w:rsid w:val="005C6D6D"/>
    <w:rsid w:val="005D0294"/>
    <w:rsid w:val="005D27B5"/>
    <w:rsid w:val="005D2E01"/>
    <w:rsid w:val="005D2F25"/>
    <w:rsid w:val="005D4624"/>
    <w:rsid w:val="005D509B"/>
    <w:rsid w:val="005D52B4"/>
    <w:rsid w:val="005D5BCA"/>
    <w:rsid w:val="005D620E"/>
    <w:rsid w:val="005D7526"/>
    <w:rsid w:val="005E0910"/>
    <w:rsid w:val="005E1B49"/>
    <w:rsid w:val="005E3496"/>
    <w:rsid w:val="005E5E5E"/>
    <w:rsid w:val="005E69AE"/>
    <w:rsid w:val="005F3283"/>
    <w:rsid w:val="005F3E4E"/>
    <w:rsid w:val="005F5463"/>
    <w:rsid w:val="005F6CF9"/>
    <w:rsid w:val="005F6F36"/>
    <w:rsid w:val="005F7035"/>
    <w:rsid w:val="005F72FF"/>
    <w:rsid w:val="00600F4B"/>
    <w:rsid w:val="00602AEA"/>
    <w:rsid w:val="00607E3C"/>
    <w:rsid w:val="00614E37"/>
    <w:rsid w:val="00614FDF"/>
    <w:rsid w:val="00621074"/>
    <w:rsid w:val="006212AD"/>
    <w:rsid w:val="00622648"/>
    <w:rsid w:val="006246A7"/>
    <w:rsid w:val="0062595A"/>
    <w:rsid w:val="00627B99"/>
    <w:rsid w:val="0063275B"/>
    <w:rsid w:val="0063543D"/>
    <w:rsid w:val="0063688C"/>
    <w:rsid w:val="006369F5"/>
    <w:rsid w:val="00642297"/>
    <w:rsid w:val="00645891"/>
    <w:rsid w:val="00645B80"/>
    <w:rsid w:val="006470CB"/>
    <w:rsid w:val="00647114"/>
    <w:rsid w:val="00652E54"/>
    <w:rsid w:val="006546A3"/>
    <w:rsid w:val="006548FC"/>
    <w:rsid w:val="006609E5"/>
    <w:rsid w:val="006633B2"/>
    <w:rsid w:val="00667FCD"/>
    <w:rsid w:val="0067193B"/>
    <w:rsid w:val="00673EF2"/>
    <w:rsid w:val="006777F3"/>
    <w:rsid w:val="0067782A"/>
    <w:rsid w:val="00677B76"/>
    <w:rsid w:val="006800C1"/>
    <w:rsid w:val="00681572"/>
    <w:rsid w:val="00682719"/>
    <w:rsid w:val="00690E24"/>
    <w:rsid w:val="00691014"/>
    <w:rsid w:val="0069101C"/>
    <w:rsid w:val="00695ACB"/>
    <w:rsid w:val="0069676C"/>
    <w:rsid w:val="006974B3"/>
    <w:rsid w:val="006A323F"/>
    <w:rsid w:val="006A4C43"/>
    <w:rsid w:val="006A5B00"/>
    <w:rsid w:val="006B30D0"/>
    <w:rsid w:val="006B7D66"/>
    <w:rsid w:val="006C1CCC"/>
    <w:rsid w:val="006C2B4C"/>
    <w:rsid w:val="006C351C"/>
    <w:rsid w:val="006C3B46"/>
    <w:rsid w:val="006C3D95"/>
    <w:rsid w:val="006C5CE0"/>
    <w:rsid w:val="006D012B"/>
    <w:rsid w:val="006D21E5"/>
    <w:rsid w:val="006D493B"/>
    <w:rsid w:val="006D7439"/>
    <w:rsid w:val="006E0125"/>
    <w:rsid w:val="006E0326"/>
    <w:rsid w:val="006E2D06"/>
    <w:rsid w:val="006E3C8B"/>
    <w:rsid w:val="006E58C5"/>
    <w:rsid w:val="006E5C86"/>
    <w:rsid w:val="006F32C4"/>
    <w:rsid w:val="006F4144"/>
    <w:rsid w:val="006F4483"/>
    <w:rsid w:val="006F771B"/>
    <w:rsid w:val="006F7F5A"/>
    <w:rsid w:val="00700CF5"/>
    <w:rsid w:val="00701BF6"/>
    <w:rsid w:val="00703061"/>
    <w:rsid w:val="00713C44"/>
    <w:rsid w:val="0071576F"/>
    <w:rsid w:val="00723101"/>
    <w:rsid w:val="00723949"/>
    <w:rsid w:val="00724089"/>
    <w:rsid w:val="00730928"/>
    <w:rsid w:val="00730A22"/>
    <w:rsid w:val="00730ED4"/>
    <w:rsid w:val="00734A5B"/>
    <w:rsid w:val="0074026F"/>
    <w:rsid w:val="00740674"/>
    <w:rsid w:val="00740A05"/>
    <w:rsid w:val="007413C5"/>
    <w:rsid w:val="007429F6"/>
    <w:rsid w:val="0074370B"/>
    <w:rsid w:val="00743764"/>
    <w:rsid w:val="00743EF3"/>
    <w:rsid w:val="00744E76"/>
    <w:rsid w:val="0074731F"/>
    <w:rsid w:val="00751068"/>
    <w:rsid w:val="00752198"/>
    <w:rsid w:val="00753881"/>
    <w:rsid w:val="007557B3"/>
    <w:rsid w:val="007579E3"/>
    <w:rsid w:val="00760AA3"/>
    <w:rsid w:val="00761DA3"/>
    <w:rsid w:val="00764DB5"/>
    <w:rsid w:val="007651E9"/>
    <w:rsid w:val="00765C1A"/>
    <w:rsid w:val="00767B04"/>
    <w:rsid w:val="00770F6A"/>
    <w:rsid w:val="00771457"/>
    <w:rsid w:val="007716DF"/>
    <w:rsid w:val="00774DA4"/>
    <w:rsid w:val="00776727"/>
    <w:rsid w:val="00781F0F"/>
    <w:rsid w:val="007822F4"/>
    <w:rsid w:val="00783C23"/>
    <w:rsid w:val="00793210"/>
    <w:rsid w:val="00796F12"/>
    <w:rsid w:val="007A5A83"/>
    <w:rsid w:val="007B110F"/>
    <w:rsid w:val="007B36EA"/>
    <w:rsid w:val="007B600E"/>
    <w:rsid w:val="007C0A8D"/>
    <w:rsid w:val="007C0E3E"/>
    <w:rsid w:val="007C2BB0"/>
    <w:rsid w:val="007C2CD5"/>
    <w:rsid w:val="007C4428"/>
    <w:rsid w:val="007C5B26"/>
    <w:rsid w:val="007C5D57"/>
    <w:rsid w:val="007C72EB"/>
    <w:rsid w:val="007C7470"/>
    <w:rsid w:val="007D2FB8"/>
    <w:rsid w:val="007D5C88"/>
    <w:rsid w:val="007D72F1"/>
    <w:rsid w:val="007D7A9D"/>
    <w:rsid w:val="007E0E3E"/>
    <w:rsid w:val="007F0F4A"/>
    <w:rsid w:val="007F3A6D"/>
    <w:rsid w:val="0080113F"/>
    <w:rsid w:val="008028A4"/>
    <w:rsid w:val="00802C01"/>
    <w:rsid w:val="00806769"/>
    <w:rsid w:val="00820B25"/>
    <w:rsid w:val="00821369"/>
    <w:rsid w:val="00822E73"/>
    <w:rsid w:val="00823B74"/>
    <w:rsid w:val="008272CE"/>
    <w:rsid w:val="00830747"/>
    <w:rsid w:val="00830C80"/>
    <w:rsid w:val="008321F9"/>
    <w:rsid w:val="0083542B"/>
    <w:rsid w:val="0084144D"/>
    <w:rsid w:val="00846829"/>
    <w:rsid w:val="0085063B"/>
    <w:rsid w:val="00850EF7"/>
    <w:rsid w:val="00854961"/>
    <w:rsid w:val="008621D8"/>
    <w:rsid w:val="00863C72"/>
    <w:rsid w:val="00866877"/>
    <w:rsid w:val="00866E39"/>
    <w:rsid w:val="00872482"/>
    <w:rsid w:val="0087410B"/>
    <w:rsid w:val="008768CA"/>
    <w:rsid w:val="00881CD6"/>
    <w:rsid w:val="00883455"/>
    <w:rsid w:val="008843A2"/>
    <w:rsid w:val="00884D7F"/>
    <w:rsid w:val="0089167B"/>
    <w:rsid w:val="00894AB0"/>
    <w:rsid w:val="00895C41"/>
    <w:rsid w:val="00896799"/>
    <w:rsid w:val="008A460F"/>
    <w:rsid w:val="008A485A"/>
    <w:rsid w:val="008A7859"/>
    <w:rsid w:val="008A787C"/>
    <w:rsid w:val="008A7A83"/>
    <w:rsid w:val="008B1D7D"/>
    <w:rsid w:val="008B209A"/>
    <w:rsid w:val="008B289B"/>
    <w:rsid w:val="008B4016"/>
    <w:rsid w:val="008B6A59"/>
    <w:rsid w:val="008C1CE0"/>
    <w:rsid w:val="008C384C"/>
    <w:rsid w:val="008C3FF6"/>
    <w:rsid w:val="008C45AE"/>
    <w:rsid w:val="008D1D1C"/>
    <w:rsid w:val="008D2E9F"/>
    <w:rsid w:val="008D41E2"/>
    <w:rsid w:val="008D588A"/>
    <w:rsid w:val="008D7F80"/>
    <w:rsid w:val="008E2360"/>
    <w:rsid w:val="008E3D0D"/>
    <w:rsid w:val="008E7986"/>
    <w:rsid w:val="008F0D3D"/>
    <w:rsid w:val="008F2044"/>
    <w:rsid w:val="008F3CDD"/>
    <w:rsid w:val="0090271F"/>
    <w:rsid w:val="00902E23"/>
    <w:rsid w:val="009030F1"/>
    <w:rsid w:val="009035DB"/>
    <w:rsid w:val="00903EF6"/>
    <w:rsid w:val="00904564"/>
    <w:rsid w:val="009076EE"/>
    <w:rsid w:val="00910BC7"/>
    <w:rsid w:val="009114D7"/>
    <w:rsid w:val="00912C69"/>
    <w:rsid w:val="0091348E"/>
    <w:rsid w:val="00913AC2"/>
    <w:rsid w:val="0091467A"/>
    <w:rsid w:val="00914CEF"/>
    <w:rsid w:val="00914DDA"/>
    <w:rsid w:val="00917CCB"/>
    <w:rsid w:val="009205B7"/>
    <w:rsid w:val="00920C02"/>
    <w:rsid w:val="009219A3"/>
    <w:rsid w:val="00922B2F"/>
    <w:rsid w:val="00922D05"/>
    <w:rsid w:val="009279B4"/>
    <w:rsid w:val="00931553"/>
    <w:rsid w:val="00935D71"/>
    <w:rsid w:val="00940D43"/>
    <w:rsid w:val="009415AC"/>
    <w:rsid w:val="00942EC2"/>
    <w:rsid w:val="0094373D"/>
    <w:rsid w:val="00945132"/>
    <w:rsid w:val="00945B01"/>
    <w:rsid w:val="00950686"/>
    <w:rsid w:val="009516F6"/>
    <w:rsid w:val="00951A2E"/>
    <w:rsid w:val="00955C25"/>
    <w:rsid w:val="0095641F"/>
    <w:rsid w:val="00960253"/>
    <w:rsid w:val="00960E66"/>
    <w:rsid w:val="00967996"/>
    <w:rsid w:val="009708E0"/>
    <w:rsid w:val="0098250D"/>
    <w:rsid w:val="00983F34"/>
    <w:rsid w:val="009854FC"/>
    <w:rsid w:val="009860B5"/>
    <w:rsid w:val="009872C5"/>
    <w:rsid w:val="009910D7"/>
    <w:rsid w:val="0099175A"/>
    <w:rsid w:val="00992F90"/>
    <w:rsid w:val="009938F4"/>
    <w:rsid w:val="009945E1"/>
    <w:rsid w:val="00996490"/>
    <w:rsid w:val="009A1316"/>
    <w:rsid w:val="009A2471"/>
    <w:rsid w:val="009A598E"/>
    <w:rsid w:val="009B2332"/>
    <w:rsid w:val="009B2BF8"/>
    <w:rsid w:val="009B65C0"/>
    <w:rsid w:val="009C067E"/>
    <w:rsid w:val="009C2464"/>
    <w:rsid w:val="009C2C1B"/>
    <w:rsid w:val="009C5E4C"/>
    <w:rsid w:val="009D0852"/>
    <w:rsid w:val="009D3B48"/>
    <w:rsid w:val="009D3F00"/>
    <w:rsid w:val="009E3057"/>
    <w:rsid w:val="009E3306"/>
    <w:rsid w:val="009E4032"/>
    <w:rsid w:val="009E7750"/>
    <w:rsid w:val="009F37B7"/>
    <w:rsid w:val="009F5009"/>
    <w:rsid w:val="009F55B3"/>
    <w:rsid w:val="009F5E43"/>
    <w:rsid w:val="009F6E2F"/>
    <w:rsid w:val="00A00F77"/>
    <w:rsid w:val="00A01247"/>
    <w:rsid w:val="00A05AB6"/>
    <w:rsid w:val="00A06A65"/>
    <w:rsid w:val="00A103D8"/>
    <w:rsid w:val="00A10F02"/>
    <w:rsid w:val="00A12136"/>
    <w:rsid w:val="00A12527"/>
    <w:rsid w:val="00A1260C"/>
    <w:rsid w:val="00A12C52"/>
    <w:rsid w:val="00A15BD4"/>
    <w:rsid w:val="00A164B4"/>
    <w:rsid w:val="00A200FA"/>
    <w:rsid w:val="00A20B73"/>
    <w:rsid w:val="00A243C8"/>
    <w:rsid w:val="00A26956"/>
    <w:rsid w:val="00A26B8E"/>
    <w:rsid w:val="00A3020A"/>
    <w:rsid w:val="00A309A6"/>
    <w:rsid w:val="00A3236C"/>
    <w:rsid w:val="00A32451"/>
    <w:rsid w:val="00A36357"/>
    <w:rsid w:val="00A42D4C"/>
    <w:rsid w:val="00A44F7F"/>
    <w:rsid w:val="00A5077F"/>
    <w:rsid w:val="00A52241"/>
    <w:rsid w:val="00A53724"/>
    <w:rsid w:val="00A53B38"/>
    <w:rsid w:val="00A54887"/>
    <w:rsid w:val="00A556DB"/>
    <w:rsid w:val="00A63895"/>
    <w:rsid w:val="00A6585D"/>
    <w:rsid w:val="00A668EA"/>
    <w:rsid w:val="00A66D34"/>
    <w:rsid w:val="00A73129"/>
    <w:rsid w:val="00A75F77"/>
    <w:rsid w:val="00A801B4"/>
    <w:rsid w:val="00A81515"/>
    <w:rsid w:val="00A8227B"/>
    <w:rsid w:val="00A82346"/>
    <w:rsid w:val="00A86DA6"/>
    <w:rsid w:val="00A90AB9"/>
    <w:rsid w:val="00A92BA1"/>
    <w:rsid w:val="00A93F67"/>
    <w:rsid w:val="00A9582B"/>
    <w:rsid w:val="00AA06F1"/>
    <w:rsid w:val="00AA0A82"/>
    <w:rsid w:val="00AB0E32"/>
    <w:rsid w:val="00AB2852"/>
    <w:rsid w:val="00AB3AF4"/>
    <w:rsid w:val="00AC176F"/>
    <w:rsid w:val="00AC30FF"/>
    <w:rsid w:val="00AC3A0D"/>
    <w:rsid w:val="00AC3F6A"/>
    <w:rsid w:val="00AC4113"/>
    <w:rsid w:val="00AC6913"/>
    <w:rsid w:val="00AC6BC6"/>
    <w:rsid w:val="00AD30A9"/>
    <w:rsid w:val="00AD32F4"/>
    <w:rsid w:val="00AD3CE6"/>
    <w:rsid w:val="00AD7733"/>
    <w:rsid w:val="00AE24D1"/>
    <w:rsid w:val="00AE2B28"/>
    <w:rsid w:val="00AE2C35"/>
    <w:rsid w:val="00AE2D7F"/>
    <w:rsid w:val="00AE3797"/>
    <w:rsid w:val="00AE6DAB"/>
    <w:rsid w:val="00AF0800"/>
    <w:rsid w:val="00AF4E68"/>
    <w:rsid w:val="00AF6C6F"/>
    <w:rsid w:val="00AF7A5E"/>
    <w:rsid w:val="00B01C1E"/>
    <w:rsid w:val="00B06987"/>
    <w:rsid w:val="00B12ADA"/>
    <w:rsid w:val="00B137ED"/>
    <w:rsid w:val="00B15449"/>
    <w:rsid w:val="00B2033F"/>
    <w:rsid w:val="00B23FC5"/>
    <w:rsid w:val="00B30D17"/>
    <w:rsid w:val="00B30E18"/>
    <w:rsid w:val="00B31AF8"/>
    <w:rsid w:val="00B31EAB"/>
    <w:rsid w:val="00B3313E"/>
    <w:rsid w:val="00B34AF8"/>
    <w:rsid w:val="00B35701"/>
    <w:rsid w:val="00B3794F"/>
    <w:rsid w:val="00B40A30"/>
    <w:rsid w:val="00B42610"/>
    <w:rsid w:val="00B42970"/>
    <w:rsid w:val="00B43710"/>
    <w:rsid w:val="00B439C4"/>
    <w:rsid w:val="00B43A44"/>
    <w:rsid w:val="00B45BF1"/>
    <w:rsid w:val="00B45F2F"/>
    <w:rsid w:val="00B5091E"/>
    <w:rsid w:val="00B521BD"/>
    <w:rsid w:val="00B52DD2"/>
    <w:rsid w:val="00B53303"/>
    <w:rsid w:val="00B54890"/>
    <w:rsid w:val="00B57A69"/>
    <w:rsid w:val="00B57EC0"/>
    <w:rsid w:val="00B6028B"/>
    <w:rsid w:val="00B60AF5"/>
    <w:rsid w:val="00B62F65"/>
    <w:rsid w:val="00B64B30"/>
    <w:rsid w:val="00B66212"/>
    <w:rsid w:val="00B72A82"/>
    <w:rsid w:val="00B7661E"/>
    <w:rsid w:val="00B76CA8"/>
    <w:rsid w:val="00B76F6D"/>
    <w:rsid w:val="00B77756"/>
    <w:rsid w:val="00B848D4"/>
    <w:rsid w:val="00B84C46"/>
    <w:rsid w:val="00B851D2"/>
    <w:rsid w:val="00B86EA0"/>
    <w:rsid w:val="00B9159B"/>
    <w:rsid w:val="00B918A8"/>
    <w:rsid w:val="00B92026"/>
    <w:rsid w:val="00B93086"/>
    <w:rsid w:val="00B94402"/>
    <w:rsid w:val="00B97442"/>
    <w:rsid w:val="00BA1501"/>
    <w:rsid w:val="00BA19ED"/>
    <w:rsid w:val="00BA1B8A"/>
    <w:rsid w:val="00BA300B"/>
    <w:rsid w:val="00BA4B8D"/>
    <w:rsid w:val="00BA5966"/>
    <w:rsid w:val="00BB0B86"/>
    <w:rsid w:val="00BB13E8"/>
    <w:rsid w:val="00BB2412"/>
    <w:rsid w:val="00BB60B3"/>
    <w:rsid w:val="00BC0F7D"/>
    <w:rsid w:val="00BC155B"/>
    <w:rsid w:val="00BC1C56"/>
    <w:rsid w:val="00BC3990"/>
    <w:rsid w:val="00BD25F6"/>
    <w:rsid w:val="00BD333D"/>
    <w:rsid w:val="00BD4B06"/>
    <w:rsid w:val="00BD56A7"/>
    <w:rsid w:val="00BD5FE5"/>
    <w:rsid w:val="00BD6168"/>
    <w:rsid w:val="00BD6C61"/>
    <w:rsid w:val="00BD7355"/>
    <w:rsid w:val="00BD7EC7"/>
    <w:rsid w:val="00BE0421"/>
    <w:rsid w:val="00BE3255"/>
    <w:rsid w:val="00BF128E"/>
    <w:rsid w:val="00BF41A6"/>
    <w:rsid w:val="00BF58C3"/>
    <w:rsid w:val="00BF6A95"/>
    <w:rsid w:val="00C03F8A"/>
    <w:rsid w:val="00C04C47"/>
    <w:rsid w:val="00C1496A"/>
    <w:rsid w:val="00C15897"/>
    <w:rsid w:val="00C246BA"/>
    <w:rsid w:val="00C260C6"/>
    <w:rsid w:val="00C27E8E"/>
    <w:rsid w:val="00C27F76"/>
    <w:rsid w:val="00C33079"/>
    <w:rsid w:val="00C379D8"/>
    <w:rsid w:val="00C4354A"/>
    <w:rsid w:val="00C45231"/>
    <w:rsid w:val="00C50C74"/>
    <w:rsid w:val="00C5359F"/>
    <w:rsid w:val="00C5685D"/>
    <w:rsid w:val="00C60513"/>
    <w:rsid w:val="00C61D1C"/>
    <w:rsid w:val="00C643EE"/>
    <w:rsid w:val="00C724F5"/>
    <w:rsid w:val="00C72833"/>
    <w:rsid w:val="00C73514"/>
    <w:rsid w:val="00C74AFF"/>
    <w:rsid w:val="00C776A4"/>
    <w:rsid w:val="00C77A33"/>
    <w:rsid w:val="00C80F1D"/>
    <w:rsid w:val="00C82550"/>
    <w:rsid w:val="00C87527"/>
    <w:rsid w:val="00C901CB"/>
    <w:rsid w:val="00C925D7"/>
    <w:rsid w:val="00C928B4"/>
    <w:rsid w:val="00C92F61"/>
    <w:rsid w:val="00C93F40"/>
    <w:rsid w:val="00C97F2B"/>
    <w:rsid w:val="00CA1C65"/>
    <w:rsid w:val="00CA3D0C"/>
    <w:rsid w:val="00CA3F1F"/>
    <w:rsid w:val="00CA4BE4"/>
    <w:rsid w:val="00CB45AB"/>
    <w:rsid w:val="00CB66BA"/>
    <w:rsid w:val="00CC03F7"/>
    <w:rsid w:val="00CC3BA1"/>
    <w:rsid w:val="00CC42C6"/>
    <w:rsid w:val="00CC5A27"/>
    <w:rsid w:val="00CC6E84"/>
    <w:rsid w:val="00CD0B17"/>
    <w:rsid w:val="00CD1191"/>
    <w:rsid w:val="00CD14E9"/>
    <w:rsid w:val="00CD38F4"/>
    <w:rsid w:val="00CD4B25"/>
    <w:rsid w:val="00CD4BE0"/>
    <w:rsid w:val="00CD6FF5"/>
    <w:rsid w:val="00CD7B5B"/>
    <w:rsid w:val="00CE035B"/>
    <w:rsid w:val="00CE0F97"/>
    <w:rsid w:val="00CE2D19"/>
    <w:rsid w:val="00CE7369"/>
    <w:rsid w:val="00CF20E3"/>
    <w:rsid w:val="00CF44A9"/>
    <w:rsid w:val="00D02F92"/>
    <w:rsid w:val="00D03250"/>
    <w:rsid w:val="00D10B5C"/>
    <w:rsid w:val="00D10E89"/>
    <w:rsid w:val="00D1197C"/>
    <w:rsid w:val="00D14159"/>
    <w:rsid w:val="00D15BBA"/>
    <w:rsid w:val="00D16E5B"/>
    <w:rsid w:val="00D22D88"/>
    <w:rsid w:val="00D2744D"/>
    <w:rsid w:val="00D27884"/>
    <w:rsid w:val="00D30464"/>
    <w:rsid w:val="00D309CC"/>
    <w:rsid w:val="00D3351F"/>
    <w:rsid w:val="00D34E1E"/>
    <w:rsid w:val="00D35B3F"/>
    <w:rsid w:val="00D414E1"/>
    <w:rsid w:val="00D431B7"/>
    <w:rsid w:val="00D442AA"/>
    <w:rsid w:val="00D46431"/>
    <w:rsid w:val="00D468B9"/>
    <w:rsid w:val="00D54B60"/>
    <w:rsid w:val="00D553ED"/>
    <w:rsid w:val="00D56078"/>
    <w:rsid w:val="00D56A52"/>
    <w:rsid w:val="00D57972"/>
    <w:rsid w:val="00D60C50"/>
    <w:rsid w:val="00D6107D"/>
    <w:rsid w:val="00D645AF"/>
    <w:rsid w:val="00D65F45"/>
    <w:rsid w:val="00D675A9"/>
    <w:rsid w:val="00D738D6"/>
    <w:rsid w:val="00D7485F"/>
    <w:rsid w:val="00D74EEB"/>
    <w:rsid w:val="00D755EB"/>
    <w:rsid w:val="00D770BA"/>
    <w:rsid w:val="00D77E92"/>
    <w:rsid w:val="00D80C1A"/>
    <w:rsid w:val="00D821E5"/>
    <w:rsid w:val="00D83DF3"/>
    <w:rsid w:val="00D84CCE"/>
    <w:rsid w:val="00D8602A"/>
    <w:rsid w:val="00D867DB"/>
    <w:rsid w:val="00D877ED"/>
    <w:rsid w:val="00D87812"/>
    <w:rsid w:val="00D87E00"/>
    <w:rsid w:val="00D907F9"/>
    <w:rsid w:val="00D9134D"/>
    <w:rsid w:val="00D91888"/>
    <w:rsid w:val="00DA2BE3"/>
    <w:rsid w:val="00DA3BC8"/>
    <w:rsid w:val="00DA53EF"/>
    <w:rsid w:val="00DA62A4"/>
    <w:rsid w:val="00DA7A03"/>
    <w:rsid w:val="00DB12EC"/>
    <w:rsid w:val="00DB13D0"/>
    <w:rsid w:val="00DB1818"/>
    <w:rsid w:val="00DB2451"/>
    <w:rsid w:val="00DB42C3"/>
    <w:rsid w:val="00DB4E11"/>
    <w:rsid w:val="00DB5C15"/>
    <w:rsid w:val="00DB5D02"/>
    <w:rsid w:val="00DC0095"/>
    <w:rsid w:val="00DC1E80"/>
    <w:rsid w:val="00DC309B"/>
    <w:rsid w:val="00DC47A6"/>
    <w:rsid w:val="00DC4DA2"/>
    <w:rsid w:val="00DC516A"/>
    <w:rsid w:val="00DC6D0F"/>
    <w:rsid w:val="00DD089D"/>
    <w:rsid w:val="00DD3917"/>
    <w:rsid w:val="00DD45F1"/>
    <w:rsid w:val="00DD4C17"/>
    <w:rsid w:val="00DD5B05"/>
    <w:rsid w:val="00DD6C56"/>
    <w:rsid w:val="00DD78E7"/>
    <w:rsid w:val="00DE1167"/>
    <w:rsid w:val="00DE2B8A"/>
    <w:rsid w:val="00DE6BE6"/>
    <w:rsid w:val="00DF2B1F"/>
    <w:rsid w:val="00DF5AD0"/>
    <w:rsid w:val="00DF5EE8"/>
    <w:rsid w:val="00DF6189"/>
    <w:rsid w:val="00DF62CD"/>
    <w:rsid w:val="00DF67C5"/>
    <w:rsid w:val="00DF74A8"/>
    <w:rsid w:val="00E003A9"/>
    <w:rsid w:val="00E033B1"/>
    <w:rsid w:val="00E06308"/>
    <w:rsid w:val="00E06ECF"/>
    <w:rsid w:val="00E12073"/>
    <w:rsid w:val="00E124D0"/>
    <w:rsid w:val="00E13876"/>
    <w:rsid w:val="00E14634"/>
    <w:rsid w:val="00E15622"/>
    <w:rsid w:val="00E16509"/>
    <w:rsid w:val="00E17392"/>
    <w:rsid w:val="00E17541"/>
    <w:rsid w:val="00E176F5"/>
    <w:rsid w:val="00E21BDD"/>
    <w:rsid w:val="00E2363F"/>
    <w:rsid w:val="00E24E3B"/>
    <w:rsid w:val="00E27B54"/>
    <w:rsid w:val="00E34C44"/>
    <w:rsid w:val="00E36C47"/>
    <w:rsid w:val="00E37491"/>
    <w:rsid w:val="00E374CA"/>
    <w:rsid w:val="00E40527"/>
    <w:rsid w:val="00E4160D"/>
    <w:rsid w:val="00E4203B"/>
    <w:rsid w:val="00E42938"/>
    <w:rsid w:val="00E441F3"/>
    <w:rsid w:val="00E44360"/>
    <w:rsid w:val="00E44582"/>
    <w:rsid w:val="00E445A2"/>
    <w:rsid w:val="00E4765D"/>
    <w:rsid w:val="00E477BE"/>
    <w:rsid w:val="00E507ED"/>
    <w:rsid w:val="00E52814"/>
    <w:rsid w:val="00E53B5D"/>
    <w:rsid w:val="00E55B2C"/>
    <w:rsid w:val="00E56C84"/>
    <w:rsid w:val="00E603C1"/>
    <w:rsid w:val="00E6333A"/>
    <w:rsid w:val="00E644E8"/>
    <w:rsid w:val="00E65966"/>
    <w:rsid w:val="00E65AAE"/>
    <w:rsid w:val="00E668AB"/>
    <w:rsid w:val="00E67FF7"/>
    <w:rsid w:val="00E70295"/>
    <w:rsid w:val="00E71D42"/>
    <w:rsid w:val="00E72324"/>
    <w:rsid w:val="00E72ABE"/>
    <w:rsid w:val="00E75C1B"/>
    <w:rsid w:val="00E76BD1"/>
    <w:rsid w:val="00E77364"/>
    <w:rsid w:val="00E77645"/>
    <w:rsid w:val="00E80DE4"/>
    <w:rsid w:val="00E82623"/>
    <w:rsid w:val="00E82BB1"/>
    <w:rsid w:val="00E8309B"/>
    <w:rsid w:val="00E879EE"/>
    <w:rsid w:val="00E92F48"/>
    <w:rsid w:val="00E936C3"/>
    <w:rsid w:val="00E9599A"/>
    <w:rsid w:val="00E9649F"/>
    <w:rsid w:val="00E97146"/>
    <w:rsid w:val="00EA4155"/>
    <w:rsid w:val="00EA6749"/>
    <w:rsid w:val="00EB22F4"/>
    <w:rsid w:val="00EB2FC2"/>
    <w:rsid w:val="00EB47FE"/>
    <w:rsid w:val="00EB5EC0"/>
    <w:rsid w:val="00EC05A4"/>
    <w:rsid w:val="00EC11B0"/>
    <w:rsid w:val="00EC16CD"/>
    <w:rsid w:val="00EC1E93"/>
    <w:rsid w:val="00EC2729"/>
    <w:rsid w:val="00EC3517"/>
    <w:rsid w:val="00EC424B"/>
    <w:rsid w:val="00EC4A25"/>
    <w:rsid w:val="00EC6DC1"/>
    <w:rsid w:val="00ED1C22"/>
    <w:rsid w:val="00ED2846"/>
    <w:rsid w:val="00ED3052"/>
    <w:rsid w:val="00ED4894"/>
    <w:rsid w:val="00EE56AB"/>
    <w:rsid w:val="00EE5AA7"/>
    <w:rsid w:val="00EE5D8F"/>
    <w:rsid w:val="00EE74D3"/>
    <w:rsid w:val="00EF09B4"/>
    <w:rsid w:val="00EF4F19"/>
    <w:rsid w:val="00EF6895"/>
    <w:rsid w:val="00EF6984"/>
    <w:rsid w:val="00EF76F3"/>
    <w:rsid w:val="00EF7828"/>
    <w:rsid w:val="00F015A4"/>
    <w:rsid w:val="00F025A2"/>
    <w:rsid w:val="00F04712"/>
    <w:rsid w:val="00F10B1F"/>
    <w:rsid w:val="00F16DDC"/>
    <w:rsid w:val="00F209B1"/>
    <w:rsid w:val="00F21311"/>
    <w:rsid w:val="00F217C7"/>
    <w:rsid w:val="00F21980"/>
    <w:rsid w:val="00F220BD"/>
    <w:rsid w:val="00F22EC7"/>
    <w:rsid w:val="00F273D3"/>
    <w:rsid w:val="00F30149"/>
    <w:rsid w:val="00F3035A"/>
    <w:rsid w:val="00F325C8"/>
    <w:rsid w:val="00F32778"/>
    <w:rsid w:val="00F33A7D"/>
    <w:rsid w:val="00F34AD4"/>
    <w:rsid w:val="00F37628"/>
    <w:rsid w:val="00F402C7"/>
    <w:rsid w:val="00F40958"/>
    <w:rsid w:val="00F42F72"/>
    <w:rsid w:val="00F465DF"/>
    <w:rsid w:val="00F4799F"/>
    <w:rsid w:val="00F50262"/>
    <w:rsid w:val="00F50F72"/>
    <w:rsid w:val="00F55516"/>
    <w:rsid w:val="00F56D57"/>
    <w:rsid w:val="00F61B4D"/>
    <w:rsid w:val="00F62AEB"/>
    <w:rsid w:val="00F653B8"/>
    <w:rsid w:val="00F70647"/>
    <w:rsid w:val="00F73852"/>
    <w:rsid w:val="00F7420E"/>
    <w:rsid w:val="00F74715"/>
    <w:rsid w:val="00F77382"/>
    <w:rsid w:val="00F851B0"/>
    <w:rsid w:val="00F86361"/>
    <w:rsid w:val="00F8688A"/>
    <w:rsid w:val="00F87FF5"/>
    <w:rsid w:val="00F9142B"/>
    <w:rsid w:val="00F92DB0"/>
    <w:rsid w:val="00F9377C"/>
    <w:rsid w:val="00F95EDB"/>
    <w:rsid w:val="00F96804"/>
    <w:rsid w:val="00FA0D1A"/>
    <w:rsid w:val="00FA0DFF"/>
    <w:rsid w:val="00FA1266"/>
    <w:rsid w:val="00FA7625"/>
    <w:rsid w:val="00FB1CFB"/>
    <w:rsid w:val="00FB2C76"/>
    <w:rsid w:val="00FB4364"/>
    <w:rsid w:val="00FB4C0B"/>
    <w:rsid w:val="00FB68AC"/>
    <w:rsid w:val="00FC1192"/>
    <w:rsid w:val="00FC13B0"/>
    <w:rsid w:val="00FC156D"/>
    <w:rsid w:val="00FC346D"/>
    <w:rsid w:val="00FC371C"/>
    <w:rsid w:val="00FC5795"/>
    <w:rsid w:val="00FC59FD"/>
    <w:rsid w:val="00FC68BC"/>
    <w:rsid w:val="00FC7334"/>
    <w:rsid w:val="00FD0D5A"/>
    <w:rsid w:val="00FD12FB"/>
    <w:rsid w:val="00FD2B0B"/>
    <w:rsid w:val="00FD324E"/>
    <w:rsid w:val="00FD355F"/>
    <w:rsid w:val="00FE46C6"/>
    <w:rsid w:val="00FE63B0"/>
    <w:rsid w:val="00FF1AAD"/>
    <w:rsid w:val="00FF1BB0"/>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uiPriority w:val="99"/>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uiPriority w:val="99"/>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 w:type="character" w:customStyle="1" w:styleId="B1Char">
    <w:name w:val="B1 Char"/>
    <w:link w:val="B1"/>
    <w:rsid w:val="00FB4C0B"/>
    <w:rPr>
      <w:lang w:eastAsia="en-US"/>
    </w:rPr>
  </w:style>
  <w:style w:type="character" w:customStyle="1" w:styleId="apple-converted-space">
    <w:name w:val="apple-converted-space"/>
    <w:basedOn w:val="DefaultParagraphFont"/>
    <w:rsid w:val="00F50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10470222">
      <w:bodyDiv w:val="1"/>
      <w:marLeft w:val="0"/>
      <w:marRight w:val="0"/>
      <w:marTop w:val="0"/>
      <w:marBottom w:val="0"/>
      <w:divBdr>
        <w:top w:val="none" w:sz="0" w:space="0" w:color="auto"/>
        <w:left w:val="none" w:sz="0" w:space="0" w:color="auto"/>
        <w:bottom w:val="none" w:sz="0" w:space="0" w:color="auto"/>
        <w:right w:val="none" w:sz="0" w:space="0" w:color="auto"/>
      </w:divBdr>
      <w:divsChild>
        <w:div w:id="2080979283">
          <w:marLeft w:val="0"/>
          <w:marRight w:val="0"/>
          <w:marTop w:val="0"/>
          <w:marBottom w:val="0"/>
          <w:divBdr>
            <w:top w:val="none" w:sz="0" w:space="0" w:color="auto"/>
            <w:left w:val="none" w:sz="0" w:space="0" w:color="auto"/>
            <w:bottom w:val="none" w:sz="0" w:space="0" w:color="auto"/>
            <w:right w:val="none" w:sz="0" w:space="0" w:color="auto"/>
          </w:divBdr>
          <w:divsChild>
            <w:div w:id="1199120770">
              <w:marLeft w:val="0"/>
              <w:marRight w:val="0"/>
              <w:marTop w:val="0"/>
              <w:marBottom w:val="0"/>
              <w:divBdr>
                <w:top w:val="none" w:sz="0" w:space="0" w:color="auto"/>
                <w:left w:val="none" w:sz="0" w:space="0" w:color="auto"/>
                <w:bottom w:val="none" w:sz="0" w:space="0" w:color="auto"/>
                <w:right w:val="none" w:sz="0" w:space="0" w:color="auto"/>
              </w:divBdr>
              <w:divsChild>
                <w:div w:id="911890230">
                  <w:marLeft w:val="0"/>
                  <w:marRight w:val="0"/>
                  <w:marTop w:val="0"/>
                  <w:marBottom w:val="0"/>
                  <w:divBdr>
                    <w:top w:val="none" w:sz="0" w:space="0" w:color="auto"/>
                    <w:left w:val="none" w:sz="0" w:space="0" w:color="auto"/>
                    <w:bottom w:val="none" w:sz="0" w:space="0" w:color="auto"/>
                    <w:right w:val="none" w:sz="0" w:space="0" w:color="auto"/>
                  </w:divBdr>
                  <w:divsChild>
                    <w:div w:id="2417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134591">
          <w:marLeft w:val="0"/>
          <w:marRight w:val="0"/>
          <w:marTop w:val="0"/>
          <w:marBottom w:val="0"/>
          <w:divBdr>
            <w:top w:val="none" w:sz="0" w:space="0" w:color="auto"/>
            <w:left w:val="none" w:sz="0" w:space="0" w:color="auto"/>
            <w:bottom w:val="none" w:sz="0" w:space="0" w:color="auto"/>
            <w:right w:val="none" w:sz="0" w:space="0" w:color="auto"/>
          </w:divBdr>
          <w:divsChild>
            <w:div w:id="1879780376">
              <w:marLeft w:val="0"/>
              <w:marRight w:val="0"/>
              <w:marTop w:val="0"/>
              <w:marBottom w:val="0"/>
              <w:divBdr>
                <w:top w:val="none" w:sz="0" w:space="0" w:color="auto"/>
                <w:left w:val="none" w:sz="0" w:space="0" w:color="auto"/>
                <w:bottom w:val="none" w:sz="0" w:space="0" w:color="auto"/>
                <w:right w:val="none" w:sz="0" w:space="0" w:color="auto"/>
              </w:divBdr>
              <w:divsChild>
                <w:div w:id="1987467640">
                  <w:marLeft w:val="0"/>
                  <w:marRight w:val="0"/>
                  <w:marTop w:val="0"/>
                  <w:marBottom w:val="0"/>
                  <w:divBdr>
                    <w:top w:val="none" w:sz="0" w:space="0" w:color="auto"/>
                    <w:left w:val="none" w:sz="0" w:space="0" w:color="auto"/>
                    <w:bottom w:val="none" w:sz="0" w:space="0" w:color="auto"/>
                    <w:right w:val="none" w:sz="0" w:space="0" w:color="auto"/>
                  </w:divBdr>
                  <w:divsChild>
                    <w:div w:id="105801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331049">
          <w:marLeft w:val="0"/>
          <w:marRight w:val="0"/>
          <w:marTop w:val="0"/>
          <w:marBottom w:val="0"/>
          <w:divBdr>
            <w:top w:val="none" w:sz="0" w:space="0" w:color="auto"/>
            <w:left w:val="none" w:sz="0" w:space="0" w:color="auto"/>
            <w:bottom w:val="none" w:sz="0" w:space="0" w:color="auto"/>
            <w:right w:val="none" w:sz="0" w:space="0" w:color="auto"/>
          </w:divBdr>
          <w:divsChild>
            <w:div w:id="114064389">
              <w:marLeft w:val="0"/>
              <w:marRight w:val="0"/>
              <w:marTop w:val="0"/>
              <w:marBottom w:val="0"/>
              <w:divBdr>
                <w:top w:val="none" w:sz="0" w:space="0" w:color="auto"/>
                <w:left w:val="none" w:sz="0" w:space="0" w:color="auto"/>
                <w:bottom w:val="none" w:sz="0" w:space="0" w:color="auto"/>
                <w:right w:val="none" w:sz="0" w:space="0" w:color="auto"/>
              </w:divBdr>
              <w:divsChild>
                <w:div w:id="1867521189">
                  <w:marLeft w:val="0"/>
                  <w:marRight w:val="0"/>
                  <w:marTop w:val="0"/>
                  <w:marBottom w:val="0"/>
                  <w:divBdr>
                    <w:top w:val="none" w:sz="0" w:space="0" w:color="auto"/>
                    <w:left w:val="none" w:sz="0" w:space="0" w:color="auto"/>
                    <w:bottom w:val="none" w:sz="0" w:space="0" w:color="auto"/>
                    <w:right w:val="none" w:sz="0" w:space="0" w:color="auto"/>
                  </w:divBdr>
                  <w:divsChild>
                    <w:div w:id="113279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689213">
          <w:marLeft w:val="0"/>
          <w:marRight w:val="0"/>
          <w:marTop w:val="0"/>
          <w:marBottom w:val="0"/>
          <w:divBdr>
            <w:top w:val="none" w:sz="0" w:space="0" w:color="auto"/>
            <w:left w:val="none" w:sz="0" w:space="0" w:color="auto"/>
            <w:bottom w:val="none" w:sz="0" w:space="0" w:color="auto"/>
            <w:right w:val="none" w:sz="0" w:space="0" w:color="auto"/>
          </w:divBdr>
          <w:divsChild>
            <w:div w:id="661472544">
              <w:marLeft w:val="0"/>
              <w:marRight w:val="0"/>
              <w:marTop w:val="0"/>
              <w:marBottom w:val="0"/>
              <w:divBdr>
                <w:top w:val="none" w:sz="0" w:space="0" w:color="auto"/>
                <w:left w:val="none" w:sz="0" w:space="0" w:color="auto"/>
                <w:bottom w:val="none" w:sz="0" w:space="0" w:color="auto"/>
                <w:right w:val="none" w:sz="0" w:space="0" w:color="auto"/>
              </w:divBdr>
              <w:divsChild>
                <w:div w:id="42414818">
                  <w:marLeft w:val="0"/>
                  <w:marRight w:val="0"/>
                  <w:marTop w:val="0"/>
                  <w:marBottom w:val="0"/>
                  <w:divBdr>
                    <w:top w:val="none" w:sz="0" w:space="0" w:color="auto"/>
                    <w:left w:val="none" w:sz="0" w:space="0" w:color="auto"/>
                    <w:bottom w:val="none" w:sz="0" w:space="0" w:color="auto"/>
                    <w:right w:val="none" w:sz="0" w:space="0" w:color="auto"/>
                  </w:divBdr>
                  <w:divsChild>
                    <w:div w:id="20721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233186">
          <w:marLeft w:val="0"/>
          <w:marRight w:val="0"/>
          <w:marTop w:val="0"/>
          <w:marBottom w:val="0"/>
          <w:divBdr>
            <w:top w:val="none" w:sz="0" w:space="0" w:color="auto"/>
            <w:left w:val="none" w:sz="0" w:space="0" w:color="auto"/>
            <w:bottom w:val="none" w:sz="0" w:space="0" w:color="auto"/>
            <w:right w:val="none" w:sz="0" w:space="0" w:color="auto"/>
          </w:divBdr>
          <w:divsChild>
            <w:div w:id="28914200">
              <w:marLeft w:val="0"/>
              <w:marRight w:val="0"/>
              <w:marTop w:val="0"/>
              <w:marBottom w:val="0"/>
              <w:divBdr>
                <w:top w:val="none" w:sz="0" w:space="0" w:color="auto"/>
                <w:left w:val="none" w:sz="0" w:space="0" w:color="auto"/>
                <w:bottom w:val="none" w:sz="0" w:space="0" w:color="auto"/>
                <w:right w:val="none" w:sz="0" w:space="0" w:color="auto"/>
              </w:divBdr>
              <w:divsChild>
                <w:div w:id="29572677">
                  <w:marLeft w:val="0"/>
                  <w:marRight w:val="0"/>
                  <w:marTop w:val="0"/>
                  <w:marBottom w:val="0"/>
                  <w:divBdr>
                    <w:top w:val="none" w:sz="0" w:space="0" w:color="auto"/>
                    <w:left w:val="none" w:sz="0" w:space="0" w:color="auto"/>
                    <w:bottom w:val="none" w:sz="0" w:space="0" w:color="auto"/>
                    <w:right w:val="none" w:sz="0" w:space="0" w:color="auto"/>
                  </w:divBdr>
                  <w:divsChild>
                    <w:div w:id="80847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297927">
          <w:marLeft w:val="0"/>
          <w:marRight w:val="0"/>
          <w:marTop w:val="0"/>
          <w:marBottom w:val="0"/>
          <w:divBdr>
            <w:top w:val="none" w:sz="0" w:space="0" w:color="auto"/>
            <w:left w:val="none" w:sz="0" w:space="0" w:color="auto"/>
            <w:bottom w:val="none" w:sz="0" w:space="0" w:color="auto"/>
            <w:right w:val="none" w:sz="0" w:space="0" w:color="auto"/>
          </w:divBdr>
          <w:divsChild>
            <w:div w:id="147524200">
              <w:marLeft w:val="0"/>
              <w:marRight w:val="0"/>
              <w:marTop w:val="0"/>
              <w:marBottom w:val="0"/>
              <w:divBdr>
                <w:top w:val="none" w:sz="0" w:space="0" w:color="auto"/>
                <w:left w:val="none" w:sz="0" w:space="0" w:color="auto"/>
                <w:bottom w:val="none" w:sz="0" w:space="0" w:color="auto"/>
                <w:right w:val="none" w:sz="0" w:space="0" w:color="auto"/>
              </w:divBdr>
              <w:divsChild>
                <w:div w:id="489756750">
                  <w:marLeft w:val="0"/>
                  <w:marRight w:val="0"/>
                  <w:marTop w:val="0"/>
                  <w:marBottom w:val="0"/>
                  <w:divBdr>
                    <w:top w:val="none" w:sz="0" w:space="0" w:color="auto"/>
                    <w:left w:val="none" w:sz="0" w:space="0" w:color="auto"/>
                    <w:bottom w:val="none" w:sz="0" w:space="0" w:color="auto"/>
                    <w:right w:val="none" w:sz="0" w:space="0" w:color="auto"/>
                  </w:divBdr>
                  <w:divsChild>
                    <w:div w:id="2413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589704">
          <w:marLeft w:val="0"/>
          <w:marRight w:val="0"/>
          <w:marTop w:val="0"/>
          <w:marBottom w:val="0"/>
          <w:divBdr>
            <w:top w:val="none" w:sz="0" w:space="0" w:color="auto"/>
            <w:left w:val="none" w:sz="0" w:space="0" w:color="auto"/>
            <w:bottom w:val="none" w:sz="0" w:space="0" w:color="auto"/>
            <w:right w:val="none" w:sz="0" w:space="0" w:color="auto"/>
          </w:divBdr>
          <w:divsChild>
            <w:div w:id="1625307656">
              <w:marLeft w:val="0"/>
              <w:marRight w:val="0"/>
              <w:marTop w:val="0"/>
              <w:marBottom w:val="0"/>
              <w:divBdr>
                <w:top w:val="none" w:sz="0" w:space="0" w:color="auto"/>
                <w:left w:val="none" w:sz="0" w:space="0" w:color="auto"/>
                <w:bottom w:val="none" w:sz="0" w:space="0" w:color="auto"/>
                <w:right w:val="none" w:sz="0" w:space="0" w:color="auto"/>
              </w:divBdr>
              <w:divsChild>
                <w:div w:id="68121921">
                  <w:marLeft w:val="0"/>
                  <w:marRight w:val="0"/>
                  <w:marTop w:val="0"/>
                  <w:marBottom w:val="0"/>
                  <w:divBdr>
                    <w:top w:val="none" w:sz="0" w:space="0" w:color="auto"/>
                    <w:left w:val="none" w:sz="0" w:space="0" w:color="auto"/>
                    <w:bottom w:val="none" w:sz="0" w:space="0" w:color="auto"/>
                    <w:right w:val="none" w:sz="0" w:space="0" w:color="auto"/>
                  </w:divBdr>
                  <w:divsChild>
                    <w:div w:id="1569537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478341">
          <w:marLeft w:val="0"/>
          <w:marRight w:val="0"/>
          <w:marTop w:val="0"/>
          <w:marBottom w:val="0"/>
          <w:divBdr>
            <w:top w:val="none" w:sz="0" w:space="0" w:color="auto"/>
            <w:left w:val="none" w:sz="0" w:space="0" w:color="auto"/>
            <w:bottom w:val="none" w:sz="0" w:space="0" w:color="auto"/>
            <w:right w:val="none" w:sz="0" w:space="0" w:color="auto"/>
          </w:divBdr>
          <w:divsChild>
            <w:div w:id="611517323">
              <w:marLeft w:val="0"/>
              <w:marRight w:val="0"/>
              <w:marTop w:val="0"/>
              <w:marBottom w:val="0"/>
              <w:divBdr>
                <w:top w:val="none" w:sz="0" w:space="0" w:color="auto"/>
                <w:left w:val="none" w:sz="0" w:space="0" w:color="auto"/>
                <w:bottom w:val="none" w:sz="0" w:space="0" w:color="auto"/>
                <w:right w:val="none" w:sz="0" w:space="0" w:color="auto"/>
              </w:divBdr>
              <w:divsChild>
                <w:div w:id="901910466">
                  <w:marLeft w:val="0"/>
                  <w:marRight w:val="0"/>
                  <w:marTop w:val="0"/>
                  <w:marBottom w:val="0"/>
                  <w:divBdr>
                    <w:top w:val="none" w:sz="0" w:space="0" w:color="auto"/>
                    <w:left w:val="none" w:sz="0" w:space="0" w:color="auto"/>
                    <w:bottom w:val="none" w:sz="0" w:space="0" w:color="auto"/>
                    <w:right w:val="none" w:sz="0" w:space="0" w:color="auto"/>
                  </w:divBdr>
                  <w:divsChild>
                    <w:div w:id="91698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4258">
          <w:marLeft w:val="0"/>
          <w:marRight w:val="0"/>
          <w:marTop w:val="0"/>
          <w:marBottom w:val="0"/>
          <w:divBdr>
            <w:top w:val="none" w:sz="0" w:space="0" w:color="auto"/>
            <w:left w:val="none" w:sz="0" w:space="0" w:color="auto"/>
            <w:bottom w:val="none" w:sz="0" w:space="0" w:color="auto"/>
            <w:right w:val="none" w:sz="0" w:space="0" w:color="auto"/>
          </w:divBdr>
          <w:divsChild>
            <w:div w:id="1398748163">
              <w:marLeft w:val="0"/>
              <w:marRight w:val="0"/>
              <w:marTop w:val="0"/>
              <w:marBottom w:val="0"/>
              <w:divBdr>
                <w:top w:val="none" w:sz="0" w:space="0" w:color="auto"/>
                <w:left w:val="none" w:sz="0" w:space="0" w:color="auto"/>
                <w:bottom w:val="none" w:sz="0" w:space="0" w:color="auto"/>
                <w:right w:val="none" w:sz="0" w:space="0" w:color="auto"/>
              </w:divBdr>
              <w:divsChild>
                <w:div w:id="2129468483">
                  <w:marLeft w:val="0"/>
                  <w:marRight w:val="0"/>
                  <w:marTop w:val="0"/>
                  <w:marBottom w:val="0"/>
                  <w:divBdr>
                    <w:top w:val="none" w:sz="0" w:space="0" w:color="auto"/>
                    <w:left w:val="none" w:sz="0" w:space="0" w:color="auto"/>
                    <w:bottom w:val="none" w:sz="0" w:space="0" w:color="auto"/>
                    <w:right w:val="none" w:sz="0" w:space="0" w:color="auto"/>
                  </w:divBdr>
                  <w:divsChild>
                    <w:div w:id="1272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64</TotalTime>
  <Pages>3</Pages>
  <Words>807</Words>
  <Characters>4605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22</cp:revision>
  <cp:lastPrinted>2019-02-25T15:05:00Z</cp:lastPrinted>
  <dcterms:created xsi:type="dcterms:W3CDTF">2025-05-09T16:18:00Z</dcterms:created>
  <dcterms:modified xsi:type="dcterms:W3CDTF">2025-05-09T20:25:00Z</dcterms:modified>
  <cp:category/>
</cp:coreProperties>
</file>